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0005" w14:textId="5D5208FD" w:rsidR="00D1586B" w:rsidRPr="00BB0FBB" w:rsidRDefault="00887058" w:rsidP="000F3E58">
      <w:pPr>
        <w:pStyle w:val="NormalWeb"/>
        <w:rPr>
          <w:rFonts w:ascii="Times New Roman" w:hAnsi="Times New Roman" w:cs="Times New Roman"/>
          <w:i/>
          <w:iCs/>
          <w:color w:val="2F5496" w:themeColor="accent1" w:themeShade="BF"/>
          <w:sz w:val="26"/>
          <w:szCs w:val="26"/>
        </w:rPr>
      </w:pPr>
      <w:r w:rsidRPr="00BB0FBB">
        <w:rPr>
          <w:rFonts w:ascii="Times New Roman" w:hAnsi="Times New Roman" w:cs="Times New Roman"/>
          <w:b/>
          <w:bCs/>
          <w:color w:val="2F5496" w:themeColor="accent1" w:themeShade="BF"/>
          <w:sz w:val="26"/>
          <w:szCs w:val="26"/>
        </w:rPr>
        <w:t xml:space="preserve">Proposed FSOC Guidance Could </w:t>
      </w:r>
      <w:r w:rsidR="00925F69">
        <w:rPr>
          <w:rFonts w:ascii="Times New Roman" w:hAnsi="Times New Roman" w:cs="Times New Roman"/>
          <w:b/>
          <w:bCs/>
          <w:color w:val="2F5496" w:themeColor="accent1" w:themeShade="BF"/>
          <w:sz w:val="26"/>
          <w:szCs w:val="26"/>
        </w:rPr>
        <w:t>Lead to</w:t>
      </w:r>
      <w:r w:rsidR="0024329C" w:rsidRPr="00BB0FBB">
        <w:rPr>
          <w:rFonts w:ascii="Times New Roman" w:hAnsi="Times New Roman" w:cs="Times New Roman"/>
          <w:b/>
          <w:bCs/>
          <w:color w:val="2F5496" w:themeColor="accent1" w:themeShade="BF"/>
          <w:sz w:val="26"/>
          <w:szCs w:val="26"/>
        </w:rPr>
        <w:t xml:space="preserve"> </w:t>
      </w:r>
      <w:r w:rsidRPr="00BB0FBB">
        <w:rPr>
          <w:rFonts w:ascii="Times New Roman" w:hAnsi="Times New Roman" w:cs="Times New Roman"/>
          <w:b/>
          <w:bCs/>
          <w:color w:val="2F5496" w:themeColor="accent1" w:themeShade="BF"/>
          <w:sz w:val="26"/>
          <w:szCs w:val="26"/>
        </w:rPr>
        <w:t xml:space="preserve">Bank-like Regulation </w:t>
      </w:r>
      <w:r w:rsidR="00804EE2" w:rsidRPr="00BB0FBB">
        <w:rPr>
          <w:rFonts w:ascii="Times New Roman" w:hAnsi="Times New Roman" w:cs="Times New Roman"/>
          <w:b/>
          <w:bCs/>
          <w:color w:val="2F5496" w:themeColor="accent1" w:themeShade="BF"/>
          <w:sz w:val="26"/>
          <w:szCs w:val="26"/>
        </w:rPr>
        <w:t xml:space="preserve">for </w:t>
      </w:r>
      <w:r w:rsidR="000848FD" w:rsidRPr="00BB0FBB">
        <w:rPr>
          <w:rFonts w:ascii="Times New Roman" w:hAnsi="Times New Roman" w:cs="Times New Roman"/>
          <w:b/>
          <w:bCs/>
          <w:color w:val="2F5496" w:themeColor="accent1" w:themeShade="BF"/>
          <w:sz w:val="26"/>
          <w:szCs w:val="26"/>
        </w:rPr>
        <w:t>Asset Managers,</w:t>
      </w:r>
      <w:r w:rsidR="0024329C" w:rsidRPr="00BB0FBB">
        <w:rPr>
          <w:rFonts w:ascii="Times New Roman" w:hAnsi="Times New Roman" w:cs="Times New Roman"/>
          <w:b/>
          <w:bCs/>
          <w:color w:val="2F5496" w:themeColor="accent1" w:themeShade="BF"/>
          <w:sz w:val="26"/>
          <w:szCs w:val="26"/>
        </w:rPr>
        <w:t xml:space="preserve"> </w:t>
      </w:r>
      <w:r w:rsidR="0016734C" w:rsidRPr="00BB0FBB">
        <w:rPr>
          <w:rFonts w:ascii="Times New Roman" w:hAnsi="Times New Roman" w:cs="Times New Roman"/>
          <w:b/>
          <w:bCs/>
          <w:color w:val="2F5496" w:themeColor="accent1" w:themeShade="BF"/>
          <w:sz w:val="26"/>
          <w:szCs w:val="26"/>
        </w:rPr>
        <w:t xml:space="preserve">Private Funds, </w:t>
      </w:r>
      <w:r w:rsidR="0016734C">
        <w:rPr>
          <w:rFonts w:ascii="Times New Roman" w:hAnsi="Times New Roman" w:cs="Times New Roman"/>
          <w:b/>
          <w:bCs/>
          <w:color w:val="2F5496" w:themeColor="accent1" w:themeShade="BF"/>
          <w:sz w:val="26"/>
          <w:szCs w:val="26"/>
        </w:rPr>
        <w:t xml:space="preserve">and </w:t>
      </w:r>
      <w:r w:rsidR="000848FD" w:rsidRPr="00BB0FBB">
        <w:rPr>
          <w:rFonts w:ascii="Times New Roman" w:hAnsi="Times New Roman" w:cs="Times New Roman"/>
          <w:b/>
          <w:bCs/>
          <w:color w:val="2F5496" w:themeColor="accent1" w:themeShade="BF"/>
          <w:sz w:val="26"/>
          <w:szCs w:val="26"/>
        </w:rPr>
        <w:t>Non-bank Mortgage Companies</w:t>
      </w:r>
      <w:r w:rsidR="001643A2" w:rsidRPr="00BB0FBB">
        <w:rPr>
          <w:rFonts w:ascii="Times New Roman" w:hAnsi="Times New Roman" w:cs="Times New Roman"/>
          <w:b/>
          <w:bCs/>
          <w:color w:val="2F5496" w:themeColor="accent1" w:themeShade="BF"/>
          <w:sz w:val="26"/>
          <w:szCs w:val="26"/>
        </w:rPr>
        <w:t xml:space="preserve"> </w:t>
      </w:r>
      <w:r w:rsidR="00A31743" w:rsidRPr="00BB0FBB">
        <w:rPr>
          <w:rFonts w:ascii="Times New Roman" w:hAnsi="Times New Roman" w:cs="Times New Roman"/>
          <w:b/>
          <w:bCs/>
          <w:color w:val="2F5496" w:themeColor="accent1" w:themeShade="BF"/>
          <w:sz w:val="26"/>
          <w:szCs w:val="26"/>
        </w:rPr>
        <w:t xml:space="preserve">– </w:t>
      </w:r>
      <w:r w:rsidR="0024329C" w:rsidRPr="00BB0FBB">
        <w:rPr>
          <w:rFonts w:ascii="Times New Roman" w:hAnsi="Times New Roman" w:cs="Times New Roman"/>
          <w:b/>
          <w:bCs/>
          <w:color w:val="2F5496" w:themeColor="accent1" w:themeShade="BF"/>
          <w:sz w:val="26"/>
          <w:szCs w:val="26"/>
        </w:rPr>
        <w:t xml:space="preserve">as well as </w:t>
      </w:r>
      <w:r w:rsidR="00C3170C" w:rsidRPr="00BB0FBB">
        <w:rPr>
          <w:rFonts w:ascii="Times New Roman" w:hAnsi="Times New Roman" w:cs="Times New Roman"/>
          <w:b/>
          <w:bCs/>
          <w:color w:val="2F5496" w:themeColor="accent1" w:themeShade="BF"/>
          <w:sz w:val="26"/>
          <w:szCs w:val="26"/>
        </w:rPr>
        <w:t>New</w:t>
      </w:r>
      <w:r w:rsidR="00DB1553" w:rsidRPr="00BB0FBB">
        <w:rPr>
          <w:rFonts w:ascii="Times New Roman" w:hAnsi="Times New Roman" w:cs="Times New Roman"/>
          <w:b/>
          <w:bCs/>
          <w:color w:val="2F5496" w:themeColor="accent1" w:themeShade="BF"/>
          <w:sz w:val="26"/>
          <w:szCs w:val="26"/>
        </w:rPr>
        <w:t xml:space="preserve"> Federal</w:t>
      </w:r>
      <w:r w:rsidR="00C3170C" w:rsidRPr="00BB0FBB">
        <w:rPr>
          <w:rFonts w:ascii="Times New Roman" w:hAnsi="Times New Roman" w:cs="Times New Roman"/>
          <w:b/>
          <w:bCs/>
          <w:color w:val="2F5496" w:themeColor="accent1" w:themeShade="BF"/>
          <w:sz w:val="26"/>
          <w:szCs w:val="26"/>
        </w:rPr>
        <w:t xml:space="preserve"> </w:t>
      </w:r>
      <w:r w:rsidR="001643A2" w:rsidRPr="00BB0FBB">
        <w:rPr>
          <w:rFonts w:ascii="Times New Roman" w:hAnsi="Times New Roman" w:cs="Times New Roman"/>
          <w:b/>
          <w:bCs/>
          <w:color w:val="2F5496" w:themeColor="accent1" w:themeShade="BF"/>
          <w:sz w:val="26"/>
          <w:szCs w:val="26"/>
        </w:rPr>
        <w:t xml:space="preserve">Regulatory </w:t>
      </w:r>
      <w:r w:rsidR="00DB1553" w:rsidRPr="00BB0FBB">
        <w:rPr>
          <w:rFonts w:ascii="Times New Roman" w:hAnsi="Times New Roman" w:cs="Times New Roman"/>
          <w:b/>
          <w:bCs/>
          <w:color w:val="2F5496" w:themeColor="accent1" w:themeShade="BF"/>
          <w:sz w:val="26"/>
          <w:szCs w:val="26"/>
        </w:rPr>
        <w:t xml:space="preserve">Frameworks </w:t>
      </w:r>
      <w:r w:rsidR="00C3170C" w:rsidRPr="00BB0FBB">
        <w:rPr>
          <w:rFonts w:ascii="Times New Roman" w:hAnsi="Times New Roman" w:cs="Times New Roman"/>
          <w:b/>
          <w:bCs/>
          <w:color w:val="2F5496" w:themeColor="accent1" w:themeShade="BF"/>
          <w:sz w:val="26"/>
          <w:szCs w:val="26"/>
        </w:rPr>
        <w:t xml:space="preserve">for </w:t>
      </w:r>
      <w:r w:rsidR="0016734C">
        <w:rPr>
          <w:rFonts w:ascii="Times New Roman" w:hAnsi="Times New Roman" w:cs="Times New Roman"/>
          <w:b/>
          <w:bCs/>
          <w:color w:val="2F5496" w:themeColor="accent1" w:themeShade="BF"/>
          <w:sz w:val="26"/>
          <w:szCs w:val="26"/>
        </w:rPr>
        <w:t xml:space="preserve">Digital Assets and Payment </w:t>
      </w:r>
      <w:r w:rsidR="00C3170C" w:rsidRPr="00BB0FBB">
        <w:rPr>
          <w:rFonts w:ascii="Times New Roman" w:hAnsi="Times New Roman" w:cs="Times New Roman"/>
          <w:b/>
          <w:bCs/>
          <w:color w:val="2F5496" w:themeColor="accent1" w:themeShade="BF"/>
          <w:sz w:val="26"/>
          <w:szCs w:val="26"/>
        </w:rPr>
        <w:t>Activities</w:t>
      </w:r>
    </w:p>
    <w:p w14:paraId="266A27E9" w14:textId="77777777" w:rsidR="00807F1B" w:rsidRPr="00B533DD" w:rsidRDefault="00807F1B" w:rsidP="000F3E58">
      <w:pPr>
        <w:pStyle w:val="NormalWeb"/>
        <w:rPr>
          <w:rFonts w:ascii="Times New Roman" w:hAnsi="Times New Roman" w:cs="Times New Roman"/>
          <w:i/>
          <w:iCs/>
          <w:color w:val="000000"/>
          <w:sz w:val="10"/>
          <w:szCs w:val="10"/>
        </w:rPr>
      </w:pPr>
    </w:p>
    <w:p w14:paraId="2BF9A8CA" w14:textId="7CB77E03" w:rsidR="000F3AC7" w:rsidRPr="00E832FD" w:rsidRDefault="000F3AC7" w:rsidP="000F3E58">
      <w:pPr>
        <w:pStyle w:val="NormalWeb"/>
        <w:rPr>
          <w:rFonts w:ascii="Times New Roman" w:hAnsi="Times New Roman" w:cs="Times New Roman"/>
          <w:i/>
          <w:iCs/>
          <w:color w:val="000000"/>
        </w:rPr>
      </w:pPr>
      <w:r w:rsidRPr="00E832FD">
        <w:rPr>
          <w:rFonts w:ascii="Times New Roman" w:hAnsi="Times New Roman" w:cs="Times New Roman"/>
          <w:i/>
          <w:iCs/>
          <w:color w:val="000000"/>
        </w:rPr>
        <w:t>Paul Atkins, Keith Noreika, Jill Sommers, Robert Greene</w:t>
      </w:r>
    </w:p>
    <w:p w14:paraId="43B4CA1F" w14:textId="77777777" w:rsidR="00807F1B" w:rsidRPr="00B533DD" w:rsidRDefault="00807F1B" w:rsidP="00C0076A">
      <w:pPr>
        <w:pStyle w:val="NormalWeb"/>
        <w:rPr>
          <w:rFonts w:ascii="Times New Roman" w:hAnsi="Times New Roman" w:cs="Times New Roman"/>
          <w:color w:val="000000"/>
          <w:sz w:val="10"/>
          <w:szCs w:val="10"/>
        </w:rPr>
      </w:pPr>
    </w:p>
    <w:p w14:paraId="1217DB58" w14:textId="74037538" w:rsidR="000F3E58" w:rsidRPr="00B533DD" w:rsidRDefault="00D1586B" w:rsidP="00C0076A">
      <w:pPr>
        <w:pStyle w:val="NormalWeb"/>
        <w:rPr>
          <w:rFonts w:ascii="Times New Roman" w:hAnsi="Times New Roman" w:cs="Times New Roman"/>
          <w:i/>
          <w:iCs/>
          <w:color w:val="000000"/>
        </w:rPr>
      </w:pPr>
      <w:r w:rsidRPr="00B533DD">
        <w:rPr>
          <w:rFonts w:ascii="Times New Roman" w:hAnsi="Times New Roman" w:cs="Times New Roman"/>
          <w:i/>
          <w:iCs/>
          <w:color w:val="000000"/>
        </w:rPr>
        <w:t>8 May 2023</w:t>
      </w:r>
    </w:p>
    <w:p w14:paraId="01876756" w14:textId="77777777" w:rsidR="00D1586B" w:rsidRDefault="00D1586B" w:rsidP="00C0076A">
      <w:pPr>
        <w:pStyle w:val="NormalWeb"/>
        <w:rPr>
          <w:rFonts w:ascii="Times New Roman" w:hAnsi="Times New Roman" w:cs="Times New Roman"/>
          <w:color w:val="000000"/>
        </w:rPr>
      </w:pPr>
    </w:p>
    <w:p w14:paraId="559FD2FC" w14:textId="1298BF24" w:rsidR="000F328C" w:rsidRDefault="00C0076A" w:rsidP="00C0076A">
      <w:pPr>
        <w:pStyle w:val="NormalWeb"/>
        <w:rPr>
          <w:rFonts w:ascii="Times New Roman" w:hAnsi="Times New Roman" w:cs="Times New Roman"/>
          <w:color w:val="000000"/>
        </w:rPr>
      </w:pPr>
      <w:r w:rsidRPr="00C0076A">
        <w:rPr>
          <w:rFonts w:ascii="Times New Roman" w:hAnsi="Times New Roman" w:cs="Times New Roman"/>
          <w:color w:val="000000"/>
        </w:rPr>
        <w:t>On 21 April, the Financial Stability Oversight Council (</w:t>
      </w:r>
      <w:r w:rsidR="00804EE2">
        <w:rPr>
          <w:rFonts w:ascii="Times New Roman" w:hAnsi="Times New Roman" w:cs="Times New Roman"/>
          <w:color w:val="000000"/>
        </w:rPr>
        <w:t>“</w:t>
      </w:r>
      <w:r w:rsidRPr="00C0076A">
        <w:rPr>
          <w:rFonts w:ascii="Times New Roman" w:hAnsi="Times New Roman" w:cs="Times New Roman"/>
          <w:color w:val="000000"/>
        </w:rPr>
        <w:t>FSOC</w:t>
      </w:r>
      <w:r w:rsidR="00804EE2">
        <w:rPr>
          <w:rFonts w:ascii="Times New Roman" w:hAnsi="Times New Roman" w:cs="Times New Roman"/>
          <w:color w:val="000000"/>
        </w:rPr>
        <w:t>”</w:t>
      </w:r>
      <w:r w:rsidRPr="00C0076A">
        <w:rPr>
          <w:rFonts w:ascii="Times New Roman" w:hAnsi="Times New Roman" w:cs="Times New Roman"/>
          <w:color w:val="000000"/>
        </w:rPr>
        <w:t xml:space="preserve">) – a </w:t>
      </w:r>
      <w:r w:rsidR="00154F17">
        <w:rPr>
          <w:rFonts w:ascii="Times New Roman" w:hAnsi="Times New Roman" w:cs="Times New Roman"/>
          <w:color w:val="000000"/>
        </w:rPr>
        <w:t xml:space="preserve">federal </w:t>
      </w:r>
      <w:r w:rsidRPr="00C0076A">
        <w:rPr>
          <w:rFonts w:ascii="Times New Roman" w:hAnsi="Times New Roman" w:cs="Times New Roman"/>
          <w:color w:val="000000"/>
        </w:rPr>
        <w:t xml:space="preserve">multi-regulator council established by the 2010 Dodd-Frank Act – </w:t>
      </w:r>
      <w:hyperlink r:id="rId8" w:history="1">
        <w:r w:rsidRPr="000F3AC7">
          <w:rPr>
            <w:rStyle w:val="Hyperlink"/>
            <w:rFonts w:ascii="Times New Roman" w:hAnsi="Times New Roman" w:cs="Times New Roman"/>
          </w:rPr>
          <w:t>released</w:t>
        </w:r>
      </w:hyperlink>
      <w:r w:rsidRPr="00C0076A">
        <w:rPr>
          <w:rFonts w:ascii="Times New Roman" w:hAnsi="Times New Roman" w:cs="Times New Roman"/>
          <w:color w:val="000000"/>
        </w:rPr>
        <w:t xml:space="preserve"> for public comment two documents that could set the stage for a dramatic transformation of how </w:t>
      </w:r>
      <w:r w:rsidR="005C769F">
        <w:rPr>
          <w:rFonts w:ascii="Times New Roman" w:hAnsi="Times New Roman" w:cs="Times New Roman"/>
          <w:color w:val="000000"/>
        </w:rPr>
        <w:t xml:space="preserve">the United States’ </w:t>
      </w:r>
      <w:r w:rsidRPr="00C0076A">
        <w:rPr>
          <w:rFonts w:ascii="Times New Roman" w:hAnsi="Times New Roman" w:cs="Times New Roman"/>
          <w:color w:val="000000"/>
        </w:rPr>
        <w:t>financial markets are regulated</w:t>
      </w:r>
      <w:r w:rsidR="004F731F">
        <w:rPr>
          <w:rFonts w:ascii="Times New Roman" w:hAnsi="Times New Roman" w:cs="Times New Roman"/>
          <w:color w:val="000000"/>
        </w:rPr>
        <w:t>:</w:t>
      </w:r>
      <w:r w:rsidR="000F3AC7">
        <w:rPr>
          <w:rStyle w:val="FootnoteReference"/>
          <w:rFonts w:ascii="Times New Roman" w:hAnsi="Times New Roman" w:cs="Times New Roman"/>
        </w:rPr>
        <w:footnoteReference w:id="2"/>
      </w:r>
      <w:r w:rsidRPr="00C0076A">
        <w:rPr>
          <w:rFonts w:ascii="Times New Roman" w:hAnsi="Times New Roman" w:cs="Times New Roman"/>
          <w:color w:val="000000"/>
        </w:rPr>
        <w:t xml:space="preserve"> its </w:t>
      </w:r>
      <w:r w:rsidRPr="00DF24AD">
        <w:rPr>
          <w:rFonts w:ascii="Times New Roman" w:hAnsi="Times New Roman" w:cs="Times New Roman"/>
        </w:rPr>
        <w:t xml:space="preserve">proposed </w:t>
      </w:r>
      <w:r w:rsidR="00035F37" w:rsidRPr="006D6195">
        <w:rPr>
          <w:rFonts w:ascii="Times New Roman" w:hAnsi="Times New Roman" w:cs="Times New Roman"/>
        </w:rPr>
        <w:t>Analytic Framework for Financial</w:t>
      </w:r>
      <w:r w:rsidR="00035F37">
        <w:rPr>
          <w:rFonts w:ascii="Times New Roman" w:hAnsi="Times New Roman" w:cs="Times New Roman"/>
        </w:rPr>
        <w:t xml:space="preserve"> </w:t>
      </w:r>
      <w:r w:rsidR="00035F37" w:rsidRPr="006D6195">
        <w:rPr>
          <w:rFonts w:ascii="Times New Roman" w:hAnsi="Times New Roman" w:cs="Times New Roman"/>
        </w:rPr>
        <w:t>Stability Risk Identification,</w:t>
      </w:r>
      <w:r w:rsidR="00035F37">
        <w:rPr>
          <w:rFonts w:ascii="Times New Roman" w:hAnsi="Times New Roman" w:cs="Times New Roman"/>
        </w:rPr>
        <w:t xml:space="preserve"> </w:t>
      </w:r>
      <w:r w:rsidR="00035F37" w:rsidRPr="006D6195">
        <w:rPr>
          <w:rFonts w:ascii="Times New Roman" w:hAnsi="Times New Roman" w:cs="Times New Roman"/>
        </w:rPr>
        <w:t>Assessment, and Response</w:t>
      </w:r>
      <w:r w:rsidR="00035F37" w:rsidRPr="006D6195" w:rsidDel="006D6195">
        <w:rPr>
          <w:rFonts w:ascii="Times New Roman" w:hAnsi="Times New Roman" w:cs="Times New Roman"/>
        </w:rPr>
        <w:t xml:space="preserve"> </w:t>
      </w:r>
      <w:r w:rsidRPr="00C0076A">
        <w:rPr>
          <w:rFonts w:ascii="Times New Roman" w:hAnsi="Times New Roman" w:cs="Times New Roman"/>
          <w:color w:val="000000"/>
        </w:rPr>
        <w:t>(the “</w:t>
      </w:r>
      <w:hyperlink r:id="rId9" w:history="1">
        <w:r w:rsidRPr="000F3AC7">
          <w:rPr>
            <w:rStyle w:val="Hyperlink"/>
            <w:rFonts w:ascii="Times New Roman" w:hAnsi="Times New Roman" w:cs="Times New Roman"/>
          </w:rPr>
          <w:t>Proposed Analytic Framework</w:t>
        </w:r>
      </w:hyperlink>
      <w:r w:rsidRPr="00C0076A">
        <w:rPr>
          <w:rFonts w:ascii="Times New Roman" w:hAnsi="Times New Roman" w:cs="Times New Roman"/>
          <w:color w:val="000000"/>
        </w:rPr>
        <w:t>”)</w:t>
      </w:r>
      <w:r w:rsidR="007234E2">
        <w:rPr>
          <w:rFonts w:ascii="Times New Roman" w:hAnsi="Times New Roman" w:cs="Times New Roman"/>
          <w:color w:val="000000"/>
        </w:rPr>
        <w:t>,</w:t>
      </w:r>
      <w:r w:rsidR="00C511BC">
        <w:rPr>
          <w:rStyle w:val="FootnoteReference"/>
          <w:rFonts w:ascii="Times New Roman" w:hAnsi="Times New Roman" w:cs="Times New Roman"/>
          <w:color w:val="000000"/>
        </w:rPr>
        <w:footnoteReference w:id="3"/>
      </w:r>
      <w:r w:rsidRPr="00C0076A">
        <w:rPr>
          <w:rFonts w:ascii="Times New Roman" w:hAnsi="Times New Roman" w:cs="Times New Roman"/>
          <w:color w:val="000000"/>
        </w:rPr>
        <w:t xml:space="preserve"> and its </w:t>
      </w:r>
      <w:r w:rsidRPr="00BD7C13">
        <w:rPr>
          <w:rFonts w:ascii="Times New Roman" w:hAnsi="Times New Roman" w:cs="Times New Roman"/>
        </w:rPr>
        <w:t xml:space="preserve">proposed </w:t>
      </w:r>
      <w:r w:rsidR="000F3AC7">
        <w:rPr>
          <w:rFonts w:ascii="Times New Roman" w:hAnsi="Times New Roman" w:cs="Times New Roman"/>
        </w:rPr>
        <w:t xml:space="preserve">interpretive guidance </w:t>
      </w:r>
      <w:r w:rsidR="008A2279">
        <w:rPr>
          <w:rFonts w:ascii="Times New Roman" w:hAnsi="Times New Roman" w:cs="Times New Roman"/>
        </w:rPr>
        <w:t xml:space="preserve">entitled </w:t>
      </w:r>
      <w:r w:rsidR="008A2279" w:rsidRPr="00EF0853">
        <w:rPr>
          <w:rFonts w:ascii="Times New Roman" w:hAnsi="Times New Roman" w:cs="Times New Roman"/>
        </w:rPr>
        <w:t>Authority To Require Supervision and</w:t>
      </w:r>
      <w:r w:rsidR="008A2279">
        <w:rPr>
          <w:rFonts w:ascii="Times New Roman" w:hAnsi="Times New Roman" w:cs="Times New Roman"/>
        </w:rPr>
        <w:t xml:space="preserve"> </w:t>
      </w:r>
      <w:r w:rsidR="008A2279" w:rsidRPr="00EF0853">
        <w:rPr>
          <w:rFonts w:ascii="Times New Roman" w:hAnsi="Times New Roman" w:cs="Times New Roman"/>
        </w:rPr>
        <w:t>Regulation of Certain Nonbank</w:t>
      </w:r>
      <w:r w:rsidR="008A2279">
        <w:rPr>
          <w:rFonts w:ascii="Times New Roman" w:hAnsi="Times New Roman" w:cs="Times New Roman"/>
        </w:rPr>
        <w:t xml:space="preserve"> </w:t>
      </w:r>
      <w:r w:rsidR="008A2279" w:rsidRPr="00EF0853">
        <w:rPr>
          <w:rFonts w:ascii="Times New Roman" w:hAnsi="Times New Roman" w:cs="Times New Roman"/>
        </w:rPr>
        <w:t>Financial Compan</w:t>
      </w:r>
      <w:r w:rsidR="0069456F">
        <w:rPr>
          <w:rFonts w:ascii="Times New Roman" w:hAnsi="Times New Roman" w:cs="Times New Roman"/>
        </w:rPr>
        <w:t xml:space="preserve">ies </w:t>
      </w:r>
      <w:r w:rsidRPr="00C0076A">
        <w:rPr>
          <w:rFonts w:ascii="Times New Roman" w:hAnsi="Times New Roman" w:cs="Times New Roman"/>
          <w:color w:val="000000"/>
        </w:rPr>
        <w:t>(the “</w:t>
      </w:r>
      <w:hyperlink r:id="rId10" w:history="1">
        <w:r w:rsidRPr="000F3AC7">
          <w:rPr>
            <w:rStyle w:val="Hyperlink"/>
            <w:rFonts w:ascii="Times New Roman" w:hAnsi="Times New Roman" w:cs="Times New Roman"/>
          </w:rPr>
          <w:t>Proposed Non</w:t>
        </w:r>
        <w:r w:rsidR="00F10133">
          <w:rPr>
            <w:rStyle w:val="Hyperlink"/>
            <w:rFonts w:ascii="Times New Roman" w:hAnsi="Times New Roman" w:cs="Times New Roman"/>
          </w:rPr>
          <w:t>-</w:t>
        </w:r>
        <w:r w:rsidRPr="000F3AC7">
          <w:rPr>
            <w:rStyle w:val="Hyperlink"/>
            <w:rFonts w:ascii="Times New Roman" w:hAnsi="Times New Roman" w:cs="Times New Roman"/>
          </w:rPr>
          <w:t>bank Guidance</w:t>
        </w:r>
      </w:hyperlink>
      <w:r w:rsidRPr="00C0076A">
        <w:rPr>
          <w:rFonts w:ascii="Times New Roman" w:hAnsi="Times New Roman" w:cs="Times New Roman"/>
          <w:color w:val="000000"/>
        </w:rPr>
        <w:t>”)</w:t>
      </w:r>
      <w:r w:rsidR="00EE09B9">
        <w:rPr>
          <w:rFonts w:ascii="Times New Roman" w:hAnsi="Times New Roman" w:cs="Times New Roman"/>
          <w:color w:val="000000"/>
        </w:rPr>
        <w:t>.</w:t>
      </w:r>
      <w:r w:rsidR="00DF24AD">
        <w:rPr>
          <w:rStyle w:val="FootnoteReference"/>
          <w:rFonts w:ascii="Times New Roman" w:hAnsi="Times New Roman" w:cs="Times New Roman"/>
          <w:color w:val="000000"/>
        </w:rPr>
        <w:footnoteReference w:id="4"/>
      </w:r>
      <w:r w:rsidRPr="00C0076A">
        <w:rPr>
          <w:rFonts w:ascii="Times New Roman" w:hAnsi="Times New Roman" w:cs="Times New Roman"/>
          <w:color w:val="000000"/>
        </w:rPr>
        <w:t xml:space="preserve"> </w:t>
      </w:r>
    </w:p>
    <w:p w14:paraId="34AC5D61" w14:textId="77777777" w:rsidR="000F328C" w:rsidRDefault="000F328C" w:rsidP="00C0076A">
      <w:pPr>
        <w:pStyle w:val="NormalWeb"/>
        <w:rPr>
          <w:rFonts w:ascii="Times New Roman" w:hAnsi="Times New Roman" w:cs="Times New Roman"/>
          <w:color w:val="000000"/>
        </w:rPr>
      </w:pPr>
    </w:p>
    <w:p w14:paraId="089C3EA2" w14:textId="0D8D4ACE" w:rsidR="004B56D0" w:rsidRDefault="00C0076A" w:rsidP="00C0076A">
      <w:pPr>
        <w:pStyle w:val="NormalWeb"/>
        <w:rPr>
          <w:rFonts w:ascii="Times New Roman" w:hAnsi="Times New Roman" w:cs="Times New Roman"/>
          <w:color w:val="000000"/>
        </w:rPr>
      </w:pPr>
      <w:r w:rsidRPr="00C0076A">
        <w:rPr>
          <w:rFonts w:ascii="Times New Roman" w:hAnsi="Times New Roman" w:cs="Times New Roman"/>
          <w:color w:val="000000"/>
        </w:rPr>
        <w:t>Th</w:t>
      </w:r>
      <w:r w:rsidR="00404725">
        <w:rPr>
          <w:rFonts w:ascii="Times New Roman" w:hAnsi="Times New Roman" w:cs="Times New Roman"/>
          <w:color w:val="000000"/>
        </w:rPr>
        <w:t>is proposed</w:t>
      </w:r>
      <w:r w:rsidR="00D04477">
        <w:rPr>
          <w:rFonts w:ascii="Times New Roman" w:hAnsi="Times New Roman" w:cs="Times New Roman"/>
          <w:color w:val="000000"/>
        </w:rPr>
        <w:t xml:space="preserve"> interpretive</w:t>
      </w:r>
      <w:r w:rsidR="00404725">
        <w:rPr>
          <w:rFonts w:ascii="Times New Roman" w:hAnsi="Times New Roman" w:cs="Times New Roman"/>
          <w:color w:val="000000"/>
        </w:rPr>
        <w:t xml:space="preserve"> </w:t>
      </w:r>
      <w:r w:rsidR="00880F9F">
        <w:rPr>
          <w:rFonts w:ascii="Times New Roman" w:hAnsi="Times New Roman" w:cs="Times New Roman"/>
          <w:color w:val="000000"/>
        </w:rPr>
        <w:t>guidance</w:t>
      </w:r>
      <w:r w:rsidR="00404725">
        <w:rPr>
          <w:rFonts w:ascii="Times New Roman" w:hAnsi="Times New Roman" w:cs="Times New Roman"/>
          <w:color w:val="000000"/>
        </w:rPr>
        <w:t xml:space="preserve"> and accompanying </w:t>
      </w:r>
      <w:r w:rsidR="00880F9F">
        <w:rPr>
          <w:rFonts w:ascii="Times New Roman" w:hAnsi="Times New Roman" w:cs="Times New Roman"/>
          <w:color w:val="000000"/>
        </w:rPr>
        <w:t>analytic framework</w:t>
      </w:r>
      <w:r w:rsidRPr="00C0076A">
        <w:rPr>
          <w:rFonts w:ascii="Times New Roman" w:hAnsi="Times New Roman" w:cs="Times New Roman"/>
          <w:color w:val="000000"/>
        </w:rPr>
        <w:t>, if finalized, would</w:t>
      </w:r>
      <w:r w:rsidR="004B56D0">
        <w:rPr>
          <w:rFonts w:ascii="Times New Roman" w:hAnsi="Times New Roman" w:cs="Times New Roman"/>
          <w:color w:val="000000"/>
        </w:rPr>
        <w:t xml:space="preserve"> have major implications to U.S. financial markets:</w:t>
      </w:r>
    </w:p>
    <w:p w14:paraId="16A9E271" w14:textId="77777777" w:rsidR="004B56D0" w:rsidRDefault="004B56D0" w:rsidP="00C0076A">
      <w:pPr>
        <w:pStyle w:val="NormalWeb"/>
        <w:rPr>
          <w:rFonts w:ascii="Times New Roman" w:hAnsi="Times New Roman" w:cs="Times New Roman"/>
          <w:color w:val="000000"/>
        </w:rPr>
      </w:pPr>
    </w:p>
    <w:p w14:paraId="25A4F11E" w14:textId="4E01625A" w:rsidR="004B56D0" w:rsidRDefault="00C0076A" w:rsidP="004B56D0">
      <w:pPr>
        <w:pStyle w:val="NormalWeb"/>
        <w:numPr>
          <w:ilvl w:val="0"/>
          <w:numId w:val="4"/>
        </w:numPr>
        <w:rPr>
          <w:rFonts w:ascii="Times New Roman" w:hAnsi="Times New Roman" w:cs="Times New Roman"/>
          <w:color w:val="000000"/>
        </w:rPr>
      </w:pPr>
      <w:r w:rsidRPr="00C0076A">
        <w:rPr>
          <w:rFonts w:ascii="Times New Roman" w:hAnsi="Times New Roman" w:cs="Times New Roman"/>
          <w:color w:val="000000"/>
        </w:rPr>
        <w:t xml:space="preserve">FSOC </w:t>
      </w:r>
      <w:r w:rsidR="00042DD4">
        <w:rPr>
          <w:rFonts w:ascii="Times New Roman" w:hAnsi="Times New Roman" w:cs="Times New Roman"/>
          <w:color w:val="000000"/>
        </w:rPr>
        <w:t>will</w:t>
      </w:r>
      <w:r w:rsidR="004B56D0">
        <w:rPr>
          <w:rFonts w:ascii="Times New Roman" w:hAnsi="Times New Roman" w:cs="Times New Roman"/>
          <w:color w:val="000000"/>
        </w:rPr>
        <w:t xml:space="preserve"> be e</w:t>
      </w:r>
      <w:r w:rsidR="00BB3FF6">
        <w:rPr>
          <w:rFonts w:ascii="Times New Roman" w:hAnsi="Times New Roman" w:cs="Times New Roman"/>
          <w:color w:val="000000"/>
        </w:rPr>
        <w:t>mpowered</w:t>
      </w:r>
      <w:r w:rsidR="004B56D0">
        <w:rPr>
          <w:rFonts w:ascii="Times New Roman" w:hAnsi="Times New Roman" w:cs="Times New Roman"/>
          <w:color w:val="000000"/>
        </w:rPr>
        <w:t xml:space="preserve"> to use </w:t>
      </w:r>
      <w:r w:rsidRPr="00C0076A">
        <w:rPr>
          <w:rFonts w:ascii="Times New Roman" w:hAnsi="Times New Roman" w:cs="Times New Roman"/>
          <w:color w:val="000000"/>
        </w:rPr>
        <w:t xml:space="preserve">sweeping powers to </w:t>
      </w:r>
      <w:r>
        <w:rPr>
          <w:rFonts w:ascii="Times New Roman" w:hAnsi="Times New Roman" w:cs="Times New Roman"/>
          <w:color w:val="000000"/>
        </w:rPr>
        <w:t>subject</w:t>
      </w:r>
      <w:r w:rsidR="00FC5863">
        <w:rPr>
          <w:rFonts w:ascii="Times New Roman" w:hAnsi="Times New Roman" w:cs="Times New Roman"/>
          <w:color w:val="000000"/>
        </w:rPr>
        <w:t xml:space="preserve"> </w:t>
      </w:r>
      <w:r w:rsidR="0001616C">
        <w:rPr>
          <w:rFonts w:ascii="Times New Roman" w:hAnsi="Times New Roman" w:cs="Times New Roman"/>
          <w:color w:val="000000"/>
        </w:rPr>
        <w:t xml:space="preserve">an expansive </w:t>
      </w:r>
      <w:r w:rsidR="00734FFA">
        <w:rPr>
          <w:rFonts w:ascii="Times New Roman" w:hAnsi="Times New Roman" w:cs="Times New Roman"/>
          <w:color w:val="000000"/>
        </w:rPr>
        <w:t xml:space="preserve">potential </w:t>
      </w:r>
      <w:r w:rsidR="0001616C">
        <w:rPr>
          <w:rFonts w:ascii="Times New Roman" w:hAnsi="Times New Roman" w:cs="Times New Roman"/>
          <w:color w:val="000000"/>
        </w:rPr>
        <w:t xml:space="preserve">list </w:t>
      </w:r>
      <w:r w:rsidR="0091253D">
        <w:rPr>
          <w:rFonts w:ascii="Times New Roman" w:hAnsi="Times New Roman" w:cs="Times New Roman"/>
          <w:color w:val="000000"/>
        </w:rPr>
        <w:t xml:space="preserve">of </w:t>
      </w:r>
      <w:r w:rsidR="00FC5863">
        <w:rPr>
          <w:rFonts w:ascii="Times New Roman" w:hAnsi="Times New Roman" w:cs="Times New Roman"/>
          <w:color w:val="000000"/>
        </w:rPr>
        <w:t>many different types of</w:t>
      </w:r>
      <w:r>
        <w:rPr>
          <w:rFonts w:ascii="Times New Roman" w:hAnsi="Times New Roman" w:cs="Times New Roman"/>
          <w:color w:val="000000"/>
        </w:rPr>
        <w:t xml:space="preserve"> </w:t>
      </w:r>
      <w:r w:rsidRPr="00C0076A">
        <w:rPr>
          <w:rFonts w:ascii="Times New Roman" w:hAnsi="Times New Roman" w:cs="Times New Roman"/>
          <w:color w:val="000000"/>
        </w:rPr>
        <w:t xml:space="preserve">non-bank financial firms and </w:t>
      </w:r>
      <w:r>
        <w:rPr>
          <w:rFonts w:ascii="Times New Roman" w:hAnsi="Times New Roman" w:cs="Times New Roman"/>
          <w:color w:val="000000"/>
        </w:rPr>
        <w:t xml:space="preserve">a broad range of otherwise regulated financial </w:t>
      </w:r>
      <w:r w:rsidRPr="00C0076A">
        <w:rPr>
          <w:rFonts w:ascii="Times New Roman" w:hAnsi="Times New Roman" w:cs="Times New Roman"/>
          <w:color w:val="000000"/>
        </w:rPr>
        <w:t>activities to</w:t>
      </w:r>
      <w:r>
        <w:rPr>
          <w:rFonts w:ascii="Times New Roman" w:hAnsi="Times New Roman" w:cs="Times New Roman"/>
          <w:color w:val="000000"/>
        </w:rPr>
        <w:t xml:space="preserve"> additional</w:t>
      </w:r>
      <w:r w:rsidRPr="00C0076A">
        <w:rPr>
          <w:rFonts w:ascii="Times New Roman" w:hAnsi="Times New Roman" w:cs="Times New Roman"/>
          <w:color w:val="000000"/>
        </w:rPr>
        <w:t xml:space="preserve"> bank-like regulation by </w:t>
      </w:r>
      <w:r w:rsidR="00837778">
        <w:rPr>
          <w:rFonts w:ascii="Times New Roman" w:hAnsi="Times New Roman" w:cs="Times New Roman"/>
          <w:color w:val="000000"/>
        </w:rPr>
        <w:t xml:space="preserve">the </w:t>
      </w:r>
      <w:r w:rsidR="000F3AC7">
        <w:rPr>
          <w:rFonts w:ascii="Times New Roman" w:hAnsi="Times New Roman" w:cs="Times New Roman"/>
          <w:color w:val="000000"/>
        </w:rPr>
        <w:t>Fed</w:t>
      </w:r>
      <w:r w:rsidR="006152E0">
        <w:rPr>
          <w:rFonts w:ascii="Times New Roman" w:hAnsi="Times New Roman" w:cs="Times New Roman"/>
          <w:color w:val="000000"/>
        </w:rPr>
        <w:t>eral Reserve Board (the “Fed”)</w:t>
      </w:r>
      <w:r w:rsidR="007B0D8A">
        <w:rPr>
          <w:rFonts w:ascii="Times New Roman" w:hAnsi="Times New Roman" w:cs="Times New Roman"/>
          <w:color w:val="000000"/>
        </w:rPr>
        <w:t>.</w:t>
      </w:r>
      <w:r>
        <w:rPr>
          <w:rFonts w:ascii="Times New Roman" w:hAnsi="Times New Roman" w:cs="Times New Roman"/>
          <w:color w:val="000000"/>
        </w:rPr>
        <w:t xml:space="preserve"> </w:t>
      </w:r>
    </w:p>
    <w:p w14:paraId="7B7CF5EB" w14:textId="3DDC9720" w:rsidR="00F72E9A" w:rsidRDefault="004F731F" w:rsidP="004B56D0">
      <w:pPr>
        <w:pStyle w:val="NormalWeb"/>
        <w:numPr>
          <w:ilvl w:val="0"/>
          <w:numId w:val="4"/>
        </w:numPr>
        <w:rPr>
          <w:rFonts w:ascii="Times New Roman" w:hAnsi="Times New Roman" w:cs="Times New Roman"/>
          <w:color w:val="000000"/>
        </w:rPr>
      </w:pPr>
      <w:r>
        <w:rPr>
          <w:rFonts w:ascii="Times New Roman" w:hAnsi="Times New Roman" w:cs="Times New Roman"/>
          <w:color w:val="000000"/>
        </w:rPr>
        <w:t xml:space="preserve">FSOC </w:t>
      </w:r>
      <w:r w:rsidR="00042DD4">
        <w:rPr>
          <w:rFonts w:ascii="Times New Roman" w:hAnsi="Times New Roman" w:cs="Times New Roman"/>
          <w:color w:val="000000"/>
        </w:rPr>
        <w:t>will no</w:t>
      </w:r>
      <w:r w:rsidR="000404EF">
        <w:rPr>
          <w:rFonts w:ascii="Times New Roman" w:hAnsi="Times New Roman" w:cs="Times New Roman"/>
          <w:color w:val="000000"/>
        </w:rPr>
        <w:t xml:space="preserve"> longer be required to </w:t>
      </w:r>
      <w:r w:rsidR="007B7C76">
        <w:rPr>
          <w:rFonts w:ascii="Times New Roman" w:hAnsi="Times New Roman" w:cs="Times New Roman"/>
          <w:color w:val="000000"/>
        </w:rPr>
        <w:t xml:space="preserve">conduct cost-benefit analysis or </w:t>
      </w:r>
      <w:r w:rsidR="00042DD4">
        <w:rPr>
          <w:rFonts w:ascii="Times New Roman" w:hAnsi="Times New Roman" w:cs="Times New Roman"/>
          <w:color w:val="000000"/>
        </w:rPr>
        <w:t xml:space="preserve">consider the </w:t>
      </w:r>
      <w:r w:rsidR="007B7C76">
        <w:rPr>
          <w:rFonts w:ascii="Times New Roman" w:hAnsi="Times New Roman" w:cs="Times New Roman"/>
          <w:color w:val="000000"/>
        </w:rPr>
        <w:t xml:space="preserve">economy-wide and </w:t>
      </w:r>
      <w:r w:rsidR="00042DD4">
        <w:rPr>
          <w:rFonts w:ascii="Times New Roman" w:hAnsi="Times New Roman" w:cs="Times New Roman"/>
          <w:color w:val="000000"/>
        </w:rPr>
        <w:t>regulatory costs of subjecting large swaths of the financial sector to bank-like regulation</w:t>
      </w:r>
      <w:r w:rsidR="0002279A">
        <w:rPr>
          <w:rFonts w:ascii="Times New Roman" w:hAnsi="Times New Roman" w:cs="Times New Roman"/>
          <w:color w:val="000000"/>
        </w:rPr>
        <w:t xml:space="preserve">. </w:t>
      </w:r>
    </w:p>
    <w:p w14:paraId="1B5DB603" w14:textId="5E024B00" w:rsidR="00F72E9A" w:rsidRDefault="00721AB3" w:rsidP="004B56D0">
      <w:pPr>
        <w:pStyle w:val="NormalWeb"/>
        <w:numPr>
          <w:ilvl w:val="0"/>
          <w:numId w:val="4"/>
        </w:numPr>
        <w:rPr>
          <w:rFonts w:ascii="Times New Roman" w:hAnsi="Times New Roman" w:cs="Times New Roman"/>
          <w:color w:val="000000"/>
        </w:rPr>
      </w:pPr>
      <w:r>
        <w:rPr>
          <w:rFonts w:ascii="Times New Roman" w:hAnsi="Times New Roman" w:cs="Times New Roman"/>
          <w:color w:val="000000"/>
        </w:rPr>
        <w:t xml:space="preserve">FSOC </w:t>
      </w:r>
      <w:r w:rsidR="00042DD4">
        <w:rPr>
          <w:rFonts w:ascii="Times New Roman" w:hAnsi="Times New Roman" w:cs="Times New Roman"/>
          <w:color w:val="000000"/>
        </w:rPr>
        <w:t xml:space="preserve">will no longer be required to </w:t>
      </w:r>
      <w:r>
        <w:rPr>
          <w:rFonts w:ascii="Times New Roman" w:hAnsi="Times New Roman" w:cs="Times New Roman"/>
          <w:color w:val="000000"/>
        </w:rPr>
        <w:t xml:space="preserve">establish the </w:t>
      </w:r>
      <w:r w:rsidR="00C0076A">
        <w:rPr>
          <w:rFonts w:ascii="Times New Roman" w:hAnsi="Times New Roman" w:cs="Times New Roman"/>
          <w:color w:val="000000"/>
        </w:rPr>
        <w:t xml:space="preserve">likelihood of </w:t>
      </w:r>
      <w:r w:rsidR="00AC2074">
        <w:rPr>
          <w:rFonts w:ascii="Times New Roman" w:hAnsi="Times New Roman" w:cs="Times New Roman"/>
          <w:color w:val="000000"/>
        </w:rPr>
        <w:t xml:space="preserve">material </w:t>
      </w:r>
      <w:r w:rsidR="00C0076A">
        <w:rPr>
          <w:rFonts w:ascii="Times New Roman" w:hAnsi="Times New Roman" w:cs="Times New Roman"/>
          <w:color w:val="000000"/>
        </w:rPr>
        <w:t>financial distress associated with a particular financial firm or activity</w:t>
      </w:r>
      <w:r w:rsidR="00262774">
        <w:rPr>
          <w:rFonts w:ascii="Times New Roman" w:hAnsi="Times New Roman" w:cs="Times New Roman"/>
          <w:color w:val="000000"/>
        </w:rPr>
        <w:t xml:space="preserve"> before determining that </w:t>
      </w:r>
      <w:r w:rsidR="00667187">
        <w:rPr>
          <w:rFonts w:ascii="Times New Roman" w:hAnsi="Times New Roman" w:cs="Times New Roman"/>
          <w:color w:val="000000"/>
        </w:rPr>
        <w:t>expansive</w:t>
      </w:r>
      <w:r w:rsidR="000C7573">
        <w:rPr>
          <w:rFonts w:ascii="Times New Roman" w:hAnsi="Times New Roman" w:cs="Times New Roman"/>
          <w:color w:val="000000"/>
        </w:rPr>
        <w:t xml:space="preserve"> </w:t>
      </w:r>
      <w:r w:rsidR="00262774">
        <w:rPr>
          <w:rFonts w:ascii="Times New Roman" w:hAnsi="Times New Roman" w:cs="Times New Roman"/>
          <w:color w:val="000000"/>
        </w:rPr>
        <w:t>Fed bank-like regulation is necessary</w:t>
      </w:r>
      <w:r w:rsidR="00C0076A">
        <w:rPr>
          <w:rFonts w:ascii="Times New Roman" w:hAnsi="Times New Roman" w:cs="Times New Roman"/>
          <w:color w:val="000000"/>
        </w:rPr>
        <w:t xml:space="preserve">. </w:t>
      </w:r>
    </w:p>
    <w:p w14:paraId="2C12120C" w14:textId="020447B8" w:rsidR="004B56D0" w:rsidRDefault="00042DD4" w:rsidP="00A918B4">
      <w:pPr>
        <w:pStyle w:val="NormalWeb"/>
        <w:numPr>
          <w:ilvl w:val="0"/>
          <w:numId w:val="4"/>
        </w:numPr>
        <w:rPr>
          <w:rFonts w:ascii="Times New Roman" w:hAnsi="Times New Roman" w:cs="Times New Roman"/>
          <w:color w:val="000000"/>
        </w:rPr>
      </w:pPr>
      <w:r>
        <w:rPr>
          <w:rFonts w:ascii="Times New Roman" w:hAnsi="Times New Roman" w:cs="Times New Roman"/>
          <w:color w:val="000000"/>
        </w:rPr>
        <w:t>Over a decade</w:t>
      </w:r>
      <w:r w:rsidR="004F731F">
        <w:rPr>
          <w:rFonts w:ascii="Times New Roman" w:hAnsi="Times New Roman" w:cs="Times New Roman"/>
          <w:color w:val="000000"/>
        </w:rPr>
        <w:t xml:space="preserve"> of procedural guardrails on FSOC’s powers applied by the Obama and Trump Administrations</w:t>
      </w:r>
      <w:r>
        <w:rPr>
          <w:rFonts w:ascii="Times New Roman" w:hAnsi="Times New Roman" w:cs="Times New Roman"/>
          <w:color w:val="000000"/>
        </w:rPr>
        <w:t xml:space="preserve"> will be abandoned</w:t>
      </w:r>
      <w:r w:rsidR="004F731F">
        <w:rPr>
          <w:rFonts w:ascii="Times New Roman" w:hAnsi="Times New Roman" w:cs="Times New Roman"/>
          <w:color w:val="000000"/>
        </w:rPr>
        <w:t xml:space="preserve">. </w:t>
      </w:r>
    </w:p>
    <w:p w14:paraId="27923639" w14:textId="77777777" w:rsidR="004B56D0" w:rsidRDefault="004B56D0" w:rsidP="00C0076A">
      <w:pPr>
        <w:pStyle w:val="NormalWeb"/>
        <w:rPr>
          <w:rFonts w:ascii="Times New Roman" w:hAnsi="Times New Roman" w:cs="Times New Roman"/>
          <w:color w:val="000000"/>
        </w:rPr>
      </w:pPr>
    </w:p>
    <w:p w14:paraId="4C54488C" w14:textId="75EB620D" w:rsidR="004F731F" w:rsidRDefault="00042DD4" w:rsidP="00C0076A">
      <w:pPr>
        <w:pStyle w:val="NormalWeb"/>
        <w:rPr>
          <w:rFonts w:ascii="Times New Roman" w:hAnsi="Times New Roman" w:cs="Times New Roman"/>
          <w:color w:val="000000"/>
        </w:rPr>
      </w:pPr>
      <w:r>
        <w:rPr>
          <w:rFonts w:ascii="Times New Roman" w:hAnsi="Times New Roman" w:cs="Times New Roman"/>
          <w:color w:val="000000"/>
        </w:rPr>
        <w:t>If the Proposed Analytic Framework and Proposed Non-bank Guidance are finalized, then n</w:t>
      </w:r>
      <w:r w:rsidR="004F731F">
        <w:rPr>
          <w:rFonts w:ascii="Times New Roman" w:hAnsi="Times New Roman" w:cs="Times New Roman"/>
          <w:color w:val="000000"/>
        </w:rPr>
        <w:t>on-bank financial firms across the U</w:t>
      </w:r>
      <w:r w:rsidR="005E040B">
        <w:rPr>
          <w:rFonts w:ascii="Times New Roman" w:hAnsi="Times New Roman" w:cs="Times New Roman"/>
          <w:color w:val="000000"/>
        </w:rPr>
        <w:t xml:space="preserve">nited </w:t>
      </w:r>
      <w:r w:rsidR="004F731F">
        <w:rPr>
          <w:rFonts w:ascii="Times New Roman" w:hAnsi="Times New Roman" w:cs="Times New Roman"/>
          <w:color w:val="000000"/>
        </w:rPr>
        <w:t>S</w:t>
      </w:r>
      <w:r w:rsidR="005E040B">
        <w:rPr>
          <w:rFonts w:ascii="Times New Roman" w:hAnsi="Times New Roman" w:cs="Times New Roman"/>
          <w:color w:val="000000"/>
        </w:rPr>
        <w:t>tates</w:t>
      </w:r>
      <w:r w:rsidR="004F731F">
        <w:rPr>
          <w:rFonts w:ascii="Times New Roman" w:hAnsi="Times New Roman" w:cs="Times New Roman"/>
          <w:color w:val="000000"/>
        </w:rPr>
        <w:t xml:space="preserve"> – including large private funds, asset managers, mortgage companies, payments companies, insurers, and cryptocurrency firms – will need to brace for new Fed-led regulatory regimes. </w:t>
      </w:r>
    </w:p>
    <w:p w14:paraId="303DA13B" w14:textId="77777777" w:rsidR="004F731F" w:rsidRDefault="004F731F" w:rsidP="00C0076A">
      <w:pPr>
        <w:pStyle w:val="NormalWeb"/>
        <w:rPr>
          <w:rFonts w:ascii="Times New Roman" w:hAnsi="Times New Roman" w:cs="Times New Roman"/>
          <w:color w:val="000000"/>
        </w:rPr>
      </w:pPr>
    </w:p>
    <w:p w14:paraId="7076B45A" w14:textId="3623D9AA" w:rsidR="005C769F" w:rsidRDefault="00615D18" w:rsidP="00C0076A">
      <w:pPr>
        <w:pStyle w:val="NormalWeb"/>
        <w:rPr>
          <w:rFonts w:ascii="Times New Roman" w:hAnsi="Times New Roman" w:cs="Times New Roman"/>
          <w:color w:val="000000"/>
        </w:rPr>
      </w:pPr>
      <w:r>
        <w:rPr>
          <w:rFonts w:ascii="Times New Roman" w:hAnsi="Times New Roman" w:cs="Times New Roman"/>
          <w:color w:val="000000"/>
        </w:rPr>
        <w:t xml:space="preserve">The Dodd-Frank Act grants FSOC </w:t>
      </w:r>
      <w:r w:rsidR="00D567FB">
        <w:rPr>
          <w:rFonts w:ascii="Times New Roman" w:hAnsi="Times New Roman" w:cs="Times New Roman"/>
          <w:color w:val="000000"/>
        </w:rPr>
        <w:t>three</w:t>
      </w:r>
      <w:r w:rsidR="00DE49F0">
        <w:rPr>
          <w:rFonts w:ascii="Times New Roman" w:hAnsi="Times New Roman" w:cs="Times New Roman"/>
          <w:color w:val="000000"/>
        </w:rPr>
        <w:t xml:space="preserve"> </w:t>
      </w:r>
      <w:r w:rsidR="00F06C6E">
        <w:rPr>
          <w:rFonts w:ascii="Times New Roman" w:hAnsi="Times New Roman" w:cs="Times New Roman"/>
          <w:color w:val="000000"/>
        </w:rPr>
        <w:t>primary</w:t>
      </w:r>
      <w:r w:rsidR="00DE49F0">
        <w:rPr>
          <w:rFonts w:ascii="Times New Roman" w:hAnsi="Times New Roman" w:cs="Times New Roman"/>
          <w:color w:val="000000"/>
        </w:rPr>
        <w:t xml:space="preserve"> ways</w:t>
      </w:r>
      <w:r>
        <w:rPr>
          <w:rFonts w:ascii="Times New Roman" w:hAnsi="Times New Roman" w:cs="Times New Roman"/>
          <w:color w:val="000000"/>
        </w:rPr>
        <w:t xml:space="preserve"> to </w:t>
      </w:r>
      <w:r w:rsidR="00F64FD0">
        <w:rPr>
          <w:rFonts w:ascii="Times New Roman" w:hAnsi="Times New Roman" w:cs="Times New Roman"/>
          <w:color w:val="000000"/>
        </w:rPr>
        <w:t>subject</w:t>
      </w:r>
      <w:r>
        <w:rPr>
          <w:rFonts w:ascii="Times New Roman" w:hAnsi="Times New Roman" w:cs="Times New Roman"/>
          <w:color w:val="000000"/>
        </w:rPr>
        <w:t xml:space="preserve"> </w:t>
      </w:r>
      <w:r w:rsidR="00EE09B9">
        <w:rPr>
          <w:rFonts w:ascii="Times New Roman" w:hAnsi="Times New Roman" w:cs="Times New Roman"/>
          <w:color w:val="000000"/>
        </w:rPr>
        <w:t>non-bank</w:t>
      </w:r>
      <w:r>
        <w:rPr>
          <w:rFonts w:ascii="Times New Roman" w:hAnsi="Times New Roman" w:cs="Times New Roman"/>
          <w:color w:val="000000"/>
        </w:rPr>
        <w:t xml:space="preserve"> financial firms</w:t>
      </w:r>
      <w:r w:rsidR="00E26C35">
        <w:rPr>
          <w:rFonts w:ascii="Times New Roman" w:hAnsi="Times New Roman" w:cs="Times New Roman"/>
          <w:color w:val="000000"/>
        </w:rPr>
        <w:t>, market infrastructure,</w:t>
      </w:r>
      <w:r>
        <w:rPr>
          <w:rFonts w:ascii="Times New Roman" w:hAnsi="Times New Roman" w:cs="Times New Roman"/>
          <w:color w:val="000000"/>
        </w:rPr>
        <w:t xml:space="preserve"> and activities</w:t>
      </w:r>
      <w:r w:rsidR="000F3AC7">
        <w:rPr>
          <w:rFonts w:ascii="Times New Roman" w:hAnsi="Times New Roman" w:cs="Times New Roman"/>
          <w:color w:val="000000"/>
        </w:rPr>
        <w:t xml:space="preserve"> to additional regulation by the Fed</w:t>
      </w:r>
      <w:r>
        <w:rPr>
          <w:rFonts w:ascii="Times New Roman" w:hAnsi="Times New Roman" w:cs="Times New Roman"/>
          <w:color w:val="000000"/>
        </w:rPr>
        <w:t xml:space="preserve">. </w:t>
      </w:r>
      <w:r w:rsidR="00A53901">
        <w:rPr>
          <w:rFonts w:ascii="Times New Roman" w:hAnsi="Times New Roman" w:cs="Times New Roman"/>
          <w:color w:val="000000"/>
        </w:rPr>
        <w:t xml:space="preserve">This analysis </w:t>
      </w:r>
      <w:r w:rsidR="00780959">
        <w:rPr>
          <w:rFonts w:ascii="Times New Roman" w:hAnsi="Times New Roman" w:cs="Times New Roman"/>
          <w:color w:val="000000"/>
        </w:rPr>
        <w:t>examines</w:t>
      </w:r>
      <w:r w:rsidR="00E31B31">
        <w:rPr>
          <w:rFonts w:ascii="Times New Roman" w:hAnsi="Times New Roman" w:cs="Times New Roman"/>
          <w:color w:val="000000"/>
        </w:rPr>
        <w:t xml:space="preserve"> the statutory basis for th</w:t>
      </w:r>
      <w:r w:rsidR="00E57F8D">
        <w:rPr>
          <w:rFonts w:ascii="Times New Roman" w:hAnsi="Times New Roman" w:cs="Times New Roman"/>
          <w:color w:val="000000"/>
        </w:rPr>
        <w:t>is</w:t>
      </w:r>
      <w:r w:rsidR="00E31B31">
        <w:rPr>
          <w:rFonts w:ascii="Times New Roman" w:hAnsi="Times New Roman" w:cs="Times New Roman"/>
          <w:color w:val="000000"/>
        </w:rPr>
        <w:t xml:space="preserve"> authorit</w:t>
      </w:r>
      <w:r w:rsidR="00E57F8D">
        <w:rPr>
          <w:rFonts w:ascii="Times New Roman" w:hAnsi="Times New Roman" w:cs="Times New Roman"/>
          <w:color w:val="000000"/>
        </w:rPr>
        <w:t>y</w:t>
      </w:r>
      <w:r w:rsidR="00E31B31">
        <w:rPr>
          <w:rFonts w:ascii="Times New Roman" w:hAnsi="Times New Roman" w:cs="Times New Roman"/>
          <w:color w:val="000000"/>
        </w:rPr>
        <w:t>,</w:t>
      </w:r>
      <w:r w:rsidR="00780959">
        <w:rPr>
          <w:rFonts w:ascii="Times New Roman" w:hAnsi="Times New Roman" w:cs="Times New Roman"/>
          <w:color w:val="000000"/>
        </w:rPr>
        <w:t xml:space="preserve"> how </w:t>
      </w:r>
      <w:r w:rsidR="009738F7">
        <w:rPr>
          <w:rFonts w:ascii="Times New Roman" w:hAnsi="Times New Roman" w:cs="Times New Roman"/>
          <w:color w:val="000000"/>
        </w:rPr>
        <w:t xml:space="preserve">FSOC has used </w:t>
      </w:r>
      <w:r w:rsidR="00780959">
        <w:rPr>
          <w:rFonts w:ascii="Times New Roman" w:hAnsi="Times New Roman" w:cs="Times New Roman"/>
          <w:color w:val="000000"/>
        </w:rPr>
        <w:t>th</w:t>
      </w:r>
      <w:r w:rsidR="009738F7">
        <w:rPr>
          <w:rFonts w:ascii="Times New Roman" w:hAnsi="Times New Roman" w:cs="Times New Roman"/>
          <w:color w:val="000000"/>
        </w:rPr>
        <w:t>is powe</w:t>
      </w:r>
      <w:r w:rsidR="0001150B">
        <w:rPr>
          <w:rFonts w:ascii="Times New Roman" w:hAnsi="Times New Roman" w:cs="Times New Roman"/>
          <w:color w:val="000000"/>
        </w:rPr>
        <w:t xml:space="preserve">r </w:t>
      </w:r>
      <w:r w:rsidR="00780959">
        <w:rPr>
          <w:rFonts w:ascii="Times New Roman" w:hAnsi="Times New Roman" w:cs="Times New Roman"/>
          <w:color w:val="000000"/>
        </w:rPr>
        <w:t>in the past</w:t>
      </w:r>
      <w:r w:rsidR="00E31B31">
        <w:rPr>
          <w:rFonts w:ascii="Times New Roman" w:hAnsi="Times New Roman" w:cs="Times New Roman"/>
          <w:color w:val="000000"/>
        </w:rPr>
        <w:t>,</w:t>
      </w:r>
      <w:r w:rsidR="00780959">
        <w:rPr>
          <w:rFonts w:ascii="Times New Roman" w:hAnsi="Times New Roman" w:cs="Times New Roman"/>
          <w:color w:val="000000"/>
        </w:rPr>
        <w:t xml:space="preserve"> and </w:t>
      </w:r>
      <w:r w:rsidR="00A53901">
        <w:rPr>
          <w:rFonts w:ascii="Times New Roman" w:hAnsi="Times New Roman" w:cs="Times New Roman"/>
          <w:color w:val="000000"/>
        </w:rPr>
        <w:t>how</w:t>
      </w:r>
      <w:r w:rsidR="00827A2D">
        <w:rPr>
          <w:rFonts w:ascii="Times New Roman" w:hAnsi="Times New Roman" w:cs="Times New Roman"/>
          <w:color w:val="000000"/>
        </w:rPr>
        <w:t xml:space="preserve"> the Biden Administration’s Proposed Analytic Framework </w:t>
      </w:r>
      <w:r w:rsidR="00780959">
        <w:rPr>
          <w:rFonts w:ascii="Times New Roman" w:hAnsi="Times New Roman" w:cs="Times New Roman"/>
          <w:color w:val="000000"/>
        </w:rPr>
        <w:t>and Proposed Non</w:t>
      </w:r>
      <w:r w:rsidR="00F10133">
        <w:rPr>
          <w:rFonts w:ascii="Times New Roman" w:hAnsi="Times New Roman" w:cs="Times New Roman"/>
          <w:color w:val="000000"/>
        </w:rPr>
        <w:t>-</w:t>
      </w:r>
      <w:r w:rsidR="00780959">
        <w:rPr>
          <w:rFonts w:ascii="Times New Roman" w:hAnsi="Times New Roman" w:cs="Times New Roman"/>
          <w:color w:val="000000"/>
        </w:rPr>
        <w:t xml:space="preserve">bank Guidance </w:t>
      </w:r>
      <w:r w:rsidR="002A30A7">
        <w:rPr>
          <w:rFonts w:ascii="Times New Roman" w:hAnsi="Times New Roman" w:cs="Times New Roman"/>
          <w:color w:val="000000"/>
        </w:rPr>
        <w:t xml:space="preserve">may affect the </w:t>
      </w:r>
      <w:r w:rsidR="00C01F67">
        <w:rPr>
          <w:rFonts w:ascii="Times New Roman" w:hAnsi="Times New Roman" w:cs="Times New Roman"/>
          <w:color w:val="000000"/>
        </w:rPr>
        <w:t>future exercise</w:t>
      </w:r>
      <w:r w:rsidR="00827A2D">
        <w:rPr>
          <w:rFonts w:ascii="Times New Roman" w:hAnsi="Times New Roman" w:cs="Times New Roman"/>
          <w:color w:val="000000"/>
        </w:rPr>
        <w:t xml:space="preserve"> of th</w:t>
      </w:r>
      <w:r w:rsidR="00C01F67">
        <w:rPr>
          <w:rFonts w:ascii="Times New Roman" w:hAnsi="Times New Roman" w:cs="Times New Roman"/>
          <w:color w:val="000000"/>
        </w:rPr>
        <w:t>is</w:t>
      </w:r>
      <w:r w:rsidR="00827A2D">
        <w:rPr>
          <w:rFonts w:ascii="Times New Roman" w:hAnsi="Times New Roman" w:cs="Times New Roman"/>
          <w:color w:val="000000"/>
        </w:rPr>
        <w:t xml:space="preserve"> authorit</w:t>
      </w:r>
      <w:r w:rsidR="00C01F67">
        <w:rPr>
          <w:rFonts w:ascii="Times New Roman" w:hAnsi="Times New Roman" w:cs="Times New Roman"/>
          <w:color w:val="000000"/>
        </w:rPr>
        <w:t>y</w:t>
      </w:r>
      <w:r w:rsidR="00B93456">
        <w:rPr>
          <w:rFonts w:ascii="Times New Roman" w:hAnsi="Times New Roman" w:cs="Times New Roman"/>
          <w:color w:val="000000"/>
        </w:rPr>
        <w:t xml:space="preserve"> in ways </w:t>
      </w:r>
      <w:proofErr w:type="gramStart"/>
      <w:r w:rsidR="00095939">
        <w:rPr>
          <w:rFonts w:ascii="Times New Roman" w:hAnsi="Times New Roman" w:cs="Times New Roman"/>
          <w:color w:val="000000"/>
        </w:rPr>
        <w:t>never before</w:t>
      </w:r>
      <w:proofErr w:type="gramEnd"/>
      <w:r w:rsidR="00095939">
        <w:rPr>
          <w:rFonts w:ascii="Times New Roman" w:hAnsi="Times New Roman" w:cs="Times New Roman"/>
          <w:color w:val="000000"/>
        </w:rPr>
        <w:t xml:space="preserve"> used by FSOC.</w:t>
      </w:r>
      <w:r w:rsidR="00DE49F0">
        <w:rPr>
          <w:rFonts w:ascii="Times New Roman" w:hAnsi="Times New Roman" w:cs="Times New Roman"/>
          <w:color w:val="000000"/>
        </w:rPr>
        <w:t xml:space="preserve"> </w:t>
      </w:r>
    </w:p>
    <w:p w14:paraId="1C901D46" w14:textId="4864913F" w:rsidR="005C769F" w:rsidRDefault="00DE49F0" w:rsidP="00DE49F0">
      <w:pPr>
        <w:pStyle w:val="NormalWeb"/>
        <w:tabs>
          <w:tab w:val="left" w:pos="3722"/>
        </w:tabs>
        <w:rPr>
          <w:rFonts w:ascii="Times New Roman" w:hAnsi="Times New Roman" w:cs="Times New Roman"/>
          <w:color w:val="000000"/>
        </w:rPr>
      </w:pPr>
      <w:r>
        <w:rPr>
          <w:rFonts w:ascii="Times New Roman" w:hAnsi="Times New Roman" w:cs="Times New Roman"/>
          <w:color w:val="000000"/>
        </w:rPr>
        <w:tab/>
      </w:r>
    </w:p>
    <w:p w14:paraId="32B2F2C2" w14:textId="37CCBACD" w:rsidR="00C760A8" w:rsidRPr="00DE49F0" w:rsidRDefault="007801A8" w:rsidP="00C0076A">
      <w:pPr>
        <w:pStyle w:val="NormalWeb"/>
        <w:rPr>
          <w:rFonts w:ascii="Times New Roman" w:hAnsi="Times New Roman" w:cs="Times New Roman"/>
          <w:b/>
          <w:bCs/>
          <w:i/>
          <w:iCs/>
          <w:color w:val="000000"/>
          <w:u w:val="single"/>
        </w:rPr>
      </w:pPr>
      <w:r w:rsidRPr="00BB0FBB">
        <w:rPr>
          <w:rFonts w:ascii="Times New Roman" w:hAnsi="Times New Roman" w:cs="Times New Roman"/>
          <w:b/>
          <w:bCs/>
          <w:color w:val="2F5496" w:themeColor="accent1" w:themeShade="BF"/>
        </w:rPr>
        <w:lastRenderedPageBreak/>
        <w:t xml:space="preserve">I) </w:t>
      </w:r>
      <w:r w:rsidR="00140D09" w:rsidRPr="00BB0FBB">
        <w:rPr>
          <w:rFonts w:ascii="Times New Roman" w:hAnsi="Times New Roman" w:cs="Times New Roman"/>
          <w:b/>
          <w:bCs/>
          <w:i/>
          <w:iCs/>
          <w:color w:val="2F5496" w:themeColor="accent1" w:themeShade="BF"/>
          <w:u w:val="single"/>
        </w:rPr>
        <w:t xml:space="preserve">Reviewing </w:t>
      </w:r>
      <w:r w:rsidR="00BF62FB" w:rsidRPr="00BB0FBB">
        <w:rPr>
          <w:rFonts w:ascii="Times New Roman" w:hAnsi="Times New Roman" w:cs="Times New Roman"/>
          <w:b/>
          <w:bCs/>
          <w:i/>
          <w:iCs/>
          <w:color w:val="2F5496" w:themeColor="accent1" w:themeShade="BF"/>
          <w:u w:val="single"/>
        </w:rPr>
        <w:t xml:space="preserve">the </w:t>
      </w:r>
      <w:r w:rsidR="00140D09" w:rsidRPr="00BB0FBB">
        <w:rPr>
          <w:rFonts w:ascii="Times New Roman" w:hAnsi="Times New Roman" w:cs="Times New Roman"/>
          <w:b/>
          <w:bCs/>
          <w:i/>
          <w:iCs/>
          <w:color w:val="2F5496" w:themeColor="accent1" w:themeShade="BF"/>
          <w:u w:val="single"/>
        </w:rPr>
        <w:t xml:space="preserve">Statutory Basis for FSOC’s </w:t>
      </w:r>
      <w:r w:rsidR="00A50228" w:rsidRPr="00BB0FBB">
        <w:rPr>
          <w:rFonts w:ascii="Times New Roman" w:hAnsi="Times New Roman" w:cs="Times New Roman"/>
          <w:b/>
          <w:bCs/>
          <w:i/>
          <w:iCs/>
          <w:color w:val="2F5496" w:themeColor="accent1" w:themeShade="BF"/>
          <w:u w:val="single"/>
        </w:rPr>
        <w:t xml:space="preserve">Designation </w:t>
      </w:r>
      <w:r w:rsidR="00140D09" w:rsidRPr="00BB0FBB">
        <w:rPr>
          <w:rFonts w:ascii="Times New Roman" w:hAnsi="Times New Roman" w:cs="Times New Roman"/>
          <w:b/>
          <w:bCs/>
          <w:i/>
          <w:iCs/>
          <w:color w:val="2F5496" w:themeColor="accent1" w:themeShade="BF"/>
          <w:u w:val="single"/>
        </w:rPr>
        <w:t>Authorities</w:t>
      </w:r>
    </w:p>
    <w:p w14:paraId="50651955" w14:textId="77777777" w:rsidR="00C760A8" w:rsidRDefault="00C760A8" w:rsidP="00C0076A">
      <w:pPr>
        <w:pStyle w:val="NormalWeb"/>
        <w:rPr>
          <w:rFonts w:ascii="Times New Roman" w:hAnsi="Times New Roman" w:cs="Times New Roman"/>
          <w:color w:val="000000"/>
        </w:rPr>
      </w:pPr>
    </w:p>
    <w:p w14:paraId="5F4FF95A" w14:textId="2EC24958" w:rsidR="007F6BEC" w:rsidRDefault="00CD67B3" w:rsidP="00CB37CB">
      <w:pPr>
        <w:pStyle w:val="NormalWeb"/>
        <w:rPr>
          <w:rFonts w:ascii="Times New Roman" w:hAnsi="Times New Roman" w:cs="Times New Roman"/>
          <w:color w:val="000000"/>
        </w:rPr>
      </w:pPr>
      <w:r>
        <w:rPr>
          <w:rFonts w:ascii="Times New Roman" w:hAnsi="Times New Roman" w:cs="Times New Roman"/>
          <w:color w:val="000000"/>
        </w:rPr>
        <w:t>FSOC</w:t>
      </w:r>
      <w:r w:rsidR="00411E17">
        <w:rPr>
          <w:rFonts w:ascii="Times New Roman" w:hAnsi="Times New Roman" w:cs="Times New Roman"/>
          <w:color w:val="000000"/>
        </w:rPr>
        <w:t xml:space="preserve"> is chaired by the </w:t>
      </w:r>
      <w:r w:rsidR="004A3CD3">
        <w:rPr>
          <w:rFonts w:ascii="Times New Roman" w:hAnsi="Times New Roman" w:cs="Times New Roman"/>
          <w:color w:val="000000"/>
        </w:rPr>
        <w:t>Secret</w:t>
      </w:r>
      <w:r w:rsidR="00A50228">
        <w:rPr>
          <w:rFonts w:ascii="Times New Roman" w:hAnsi="Times New Roman" w:cs="Times New Roman"/>
          <w:color w:val="000000"/>
        </w:rPr>
        <w:t>ary of the Treasury</w:t>
      </w:r>
      <w:r w:rsidR="00411E17">
        <w:rPr>
          <w:rFonts w:ascii="Times New Roman" w:hAnsi="Times New Roman" w:cs="Times New Roman"/>
          <w:color w:val="000000"/>
        </w:rPr>
        <w:t xml:space="preserve">. </w:t>
      </w:r>
      <w:r w:rsidR="005E14F4">
        <w:rPr>
          <w:rFonts w:ascii="Times New Roman" w:hAnsi="Times New Roman" w:cs="Times New Roman"/>
          <w:color w:val="000000"/>
        </w:rPr>
        <w:t xml:space="preserve">The other </w:t>
      </w:r>
      <w:r w:rsidR="00BE6CD4">
        <w:rPr>
          <w:rFonts w:ascii="Times New Roman" w:hAnsi="Times New Roman" w:cs="Times New Roman"/>
          <w:color w:val="000000"/>
        </w:rPr>
        <w:t>nine</w:t>
      </w:r>
      <w:r w:rsidR="00FA6882">
        <w:rPr>
          <w:rFonts w:ascii="Times New Roman" w:hAnsi="Times New Roman" w:cs="Times New Roman"/>
          <w:color w:val="000000"/>
        </w:rPr>
        <w:t xml:space="preserve"> </w:t>
      </w:r>
      <w:r w:rsidR="005E14F4">
        <w:rPr>
          <w:rFonts w:ascii="Times New Roman" w:hAnsi="Times New Roman" w:cs="Times New Roman"/>
          <w:color w:val="000000"/>
        </w:rPr>
        <w:t xml:space="preserve">voting members are </w:t>
      </w:r>
      <w:r w:rsidR="004F7B53">
        <w:rPr>
          <w:rFonts w:ascii="Times New Roman" w:hAnsi="Times New Roman" w:cs="Times New Roman"/>
          <w:color w:val="000000"/>
        </w:rPr>
        <w:t>the</w:t>
      </w:r>
      <w:r w:rsidR="006A501C">
        <w:rPr>
          <w:rFonts w:ascii="Times New Roman" w:hAnsi="Times New Roman" w:cs="Times New Roman"/>
          <w:color w:val="000000"/>
        </w:rPr>
        <w:t xml:space="preserve"> </w:t>
      </w:r>
      <w:r w:rsidR="00A50228">
        <w:rPr>
          <w:rFonts w:ascii="Times New Roman" w:hAnsi="Times New Roman" w:cs="Times New Roman"/>
          <w:color w:val="000000"/>
        </w:rPr>
        <w:t>heads of</w:t>
      </w:r>
      <w:r w:rsidR="00E46F30">
        <w:rPr>
          <w:rFonts w:ascii="Times New Roman" w:hAnsi="Times New Roman" w:cs="Times New Roman"/>
          <w:color w:val="000000"/>
        </w:rPr>
        <w:t xml:space="preserve"> the Fed,</w:t>
      </w:r>
      <w:r w:rsidR="00A50228">
        <w:rPr>
          <w:rFonts w:ascii="Times New Roman" w:hAnsi="Times New Roman" w:cs="Times New Roman"/>
          <w:color w:val="000000"/>
        </w:rPr>
        <w:t xml:space="preserve"> the Securities and Exchange Commission (“SEC”), </w:t>
      </w:r>
      <w:r w:rsidR="00AC3B2C">
        <w:rPr>
          <w:rFonts w:ascii="Times New Roman" w:hAnsi="Times New Roman" w:cs="Times New Roman"/>
          <w:color w:val="000000"/>
        </w:rPr>
        <w:t xml:space="preserve">the </w:t>
      </w:r>
      <w:r w:rsidR="00A50228">
        <w:rPr>
          <w:rFonts w:ascii="Times New Roman" w:hAnsi="Times New Roman" w:cs="Times New Roman"/>
          <w:color w:val="000000"/>
        </w:rPr>
        <w:t>Commodity Futures Trading Commission (“CFTC</w:t>
      </w:r>
      <w:r w:rsidR="00C24732">
        <w:rPr>
          <w:rFonts w:ascii="Times New Roman" w:hAnsi="Times New Roman" w:cs="Times New Roman"/>
          <w:color w:val="000000"/>
        </w:rPr>
        <w:t>”)</w:t>
      </w:r>
      <w:r w:rsidR="00A50228">
        <w:rPr>
          <w:rFonts w:ascii="Times New Roman" w:hAnsi="Times New Roman" w:cs="Times New Roman"/>
          <w:color w:val="000000"/>
        </w:rPr>
        <w:t xml:space="preserve">, </w:t>
      </w:r>
      <w:r w:rsidR="00E46F30">
        <w:rPr>
          <w:rFonts w:ascii="Times New Roman" w:hAnsi="Times New Roman" w:cs="Times New Roman"/>
          <w:color w:val="000000"/>
        </w:rPr>
        <w:t>the Consumer Financial Protection Bureau (“CFPB”),</w:t>
      </w:r>
      <w:r w:rsidR="00A50228">
        <w:rPr>
          <w:rFonts w:ascii="Times New Roman" w:hAnsi="Times New Roman" w:cs="Times New Roman"/>
          <w:color w:val="000000"/>
        </w:rPr>
        <w:t xml:space="preserve"> </w:t>
      </w:r>
      <w:r w:rsidR="000F2103">
        <w:rPr>
          <w:rFonts w:ascii="Times New Roman" w:hAnsi="Times New Roman" w:cs="Times New Roman"/>
          <w:color w:val="000000"/>
        </w:rPr>
        <w:t>the Federal Deposit Insurance Corporation</w:t>
      </w:r>
      <w:r w:rsidR="00FA306D">
        <w:rPr>
          <w:rFonts w:ascii="Times New Roman" w:hAnsi="Times New Roman" w:cs="Times New Roman"/>
          <w:color w:val="000000"/>
        </w:rPr>
        <w:t xml:space="preserve">, </w:t>
      </w:r>
      <w:r w:rsidR="00AC3B2C">
        <w:rPr>
          <w:rFonts w:ascii="Times New Roman" w:hAnsi="Times New Roman" w:cs="Times New Roman"/>
          <w:color w:val="000000"/>
        </w:rPr>
        <w:t xml:space="preserve">the Office of the Comptroller of the Currency, </w:t>
      </w:r>
      <w:r w:rsidR="004F7B53">
        <w:rPr>
          <w:rFonts w:ascii="Times New Roman" w:hAnsi="Times New Roman" w:cs="Times New Roman"/>
          <w:color w:val="000000"/>
        </w:rPr>
        <w:t>the Federal Housing Finance Agency, and the National Credit Union Administration</w:t>
      </w:r>
      <w:r w:rsidR="00411E17">
        <w:rPr>
          <w:rFonts w:ascii="Times New Roman" w:hAnsi="Times New Roman" w:cs="Times New Roman"/>
          <w:color w:val="000000"/>
        </w:rPr>
        <w:t xml:space="preserve">, as well as an independent member with insurance expertise </w:t>
      </w:r>
      <w:r w:rsidR="005E2EC6">
        <w:rPr>
          <w:rFonts w:ascii="Times New Roman" w:hAnsi="Times New Roman" w:cs="Times New Roman"/>
          <w:color w:val="000000"/>
        </w:rPr>
        <w:t xml:space="preserve">appointed by the President with the consent of </w:t>
      </w:r>
      <w:r w:rsidR="00411E17">
        <w:rPr>
          <w:rFonts w:ascii="Times New Roman" w:hAnsi="Times New Roman" w:cs="Times New Roman"/>
          <w:color w:val="000000"/>
        </w:rPr>
        <w:t>the Senate</w:t>
      </w:r>
      <w:r w:rsidR="002E6ABF">
        <w:rPr>
          <w:rFonts w:ascii="Times New Roman" w:hAnsi="Times New Roman" w:cs="Times New Roman"/>
          <w:color w:val="000000"/>
        </w:rPr>
        <w:t xml:space="preserve"> (“Independent Insurance Member”)</w:t>
      </w:r>
      <w:r w:rsidR="004F7B53">
        <w:rPr>
          <w:rFonts w:ascii="Times New Roman" w:hAnsi="Times New Roman" w:cs="Times New Roman"/>
          <w:color w:val="000000"/>
        </w:rPr>
        <w:t xml:space="preserve">. </w:t>
      </w:r>
      <w:r w:rsidR="00CB37CB">
        <w:rPr>
          <w:rFonts w:ascii="Times New Roman" w:hAnsi="Times New Roman" w:cs="Times New Roman"/>
          <w:color w:val="000000"/>
        </w:rPr>
        <w:t xml:space="preserve">FSOC’s designation authorities </w:t>
      </w:r>
      <w:r w:rsidR="002D4843">
        <w:rPr>
          <w:rFonts w:ascii="Times New Roman" w:hAnsi="Times New Roman" w:cs="Times New Roman"/>
          <w:color w:val="000000"/>
        </w:rPr>
        <w:t xml:space="preserve">primarily </w:t>
      </w:r>
      <w:r w:rsidR="00CB37CB">
        <w:rPr>
          <w:rFonts w:ascii="Times New Roman" w:hAnsi="Times New Roman" w:cs="Times New Roman"/>
          <w:color w:val="000000"/>
        </w:rPr>
        <w:t>come from Sections 113 and 804 of the Dodd-Frank Act</w:t>
      </w:r>
      <w:r w:rsidR="00B2694E">
        <w:rPr>
          <w:rFonts w:ascii="Times New Roman" w:hAnsi="Times New Roman" w:cs="Times New Roman"/>
          <w:color w:val="000000"/>
        </w:rPr>
        <w:t>.</w:t>
      </w:r>
      <w:r w:rsidR="00F64C5F">
        <w:rPr>
          <w:rFonts w:ascii="Times New Roman" w:hAnsi="Times New Roman" w:cs="Times New Roman"/>
          <w:color w:val="000000"/>
        </w:rPr>
        <w:t xml:space="preserve"> The Biden Administration’s Proposed </w:t>
      </w:r>
      <w:r w:rsidR="00F304CB">
        <w:rPr>
          <w:rFonts w:ascii="Times New Roman" w:hAnsi="Times New Roman" w:cs="Times New Roman"/>
          <w:color w:val="000000"/>
        </w:rPr>
        <w:t>Analytic Framework</w:t>
      </w:r>
      <w:r w:rsidR="00F64C5F">
        <w:rPr>
          <w:rFonts w:ascii="Times New Roman" w:hAnsi="Times New Roman" w:cs="Times New Roman"/>
          <w:color w:val="000000"/>
        </w:rPr>
        <w:t xml:space="preserve"> </w:t>
      </w:r>
      <w:r w:rsidR="00E503FB">
        <w:rPr>
          <w:rFonts w:ascii="Times New Roman" w:hAnsi="Times New Roman" w:cs="Times New Roman"/>
          <w:color w:val="000000"/>
        </w:rPr>
        <w:t xml:space="preserve">marks </w:t>
      </w:r>
      <w:r w:rsidR="00F64C5F">
        <w:rPr>
          <w:rFonts w:ascii="Times New Roman" w:hAnsi="Times New Roman" w:cs="Times New Roman"/>
          <w:color w:val="000000"/>
        </w:rPr>
        <w:t xml:space="preserve">the first </w:t>
      </w:r>
      <w:r w:rsidR="00E503FB">
        <w:rPr>
          <w:rFonts w:ascii="Times New Roman" w:hAnsi="Times New Roman" w:cs="Times New Roman"/>
          <w:color w:val="000000"/>
        </w:rPr>
        <w:t xml:space="preserve">time FSOC has </w:t>
      </w:r>
      <w:r w:rsidR="00FA6882">
        <w:rPr>
          <w:rFonts w:ascii="Times New Roman" w:hAnsi="Times New Roman" w:cs="Times New Roman"/>
          <w:color w:val="000000"/>
        </w:rPr>
        <w:t>proposed an analytic</w:t>
      </w:r>
      <w:r w:rsidR="00F64C5F">
        <w:rPr>
          <w:rFonts w:ascii="Times New Roman" w:hAnsi="Times New Roman" w:cs="Times New Roman"/>
          <w:color w:val="000000"/>
        </w:rPr>
        <w:t xml:space="preserve"> </w:t>
      </w:r>
      <w:r w:rsidR="00FA6882">
        <w:rPr>
          <w:rFonts w:ascii="Times New Roman" w:hAnsi="Times New Roman" w:cs="Times New Roman"/>
          <w:color w:val="000000"/>
        </w:rPr>
        <w:t xml:space="preserve">framework </w:t>
      </w:r>
      <w:r w:rsidR="00F64C5F">
        <w:rPr>
          <w:rFonts w:ascii="Times New Roman" w:hAnsi="Times New Roman" w:cs="Times New Roman"/>
          <w:color w:val="000000"/>
        </w:rPr>
        <w:t xml:space="preserve">surrounding </w:t>
      </w:r>
      <w:r w:rsidR="00E503FB">
        <w:rPr>
          <w:rFonts w:ascii="Times New Roman" w:hAnsi="Times New Roman" w:cs="Times New Roman"/>
          <w:color w:val="000000"/>
        </w:rPr>
        <w:t xml:space="preserve">how it will </w:t>
      </w:r>
      <w:r w:rsidR="00660B88">
        <w:rPr>
          <w:rFonts w:ascii="Times New Roman" w:hAnsi="Times New Roman" w:cs="Times New Roman"/>
          <w:color w:val="000000"/>
        </w:rPr>
        <w:t xml:space="preserve">use </w:t>
      </w:r>
      <w:proofErr w:type="gramStart"/>
      <w:r w:rsidR="00350A4E">
        <w:rPr>
          <w:rFonts w:ascii="Times New Roman" w:hAnsi="Times New Roman" w:cs="Times New Roman"/>
          <w:color w:val="000000"/>
        </w:rPr>
        <w:t>all of</w:t>
      </w:r>
      <w:proofErr w:type="gramEnd"/>
      <w:r w:rsidR="00350A4E">
        <w:rPr>
          <w:rFonts w:ascii="Times New Roman" w:hAnsi="Times New Roman" w:cs="Times New Roman"/>
          <w:color w:val="000000"/>
        </w:rPr>
        <w:t xml:space="preserve"> the designation </w:t>
      </w:r>
      <w:r w:rsidR="00E503FB">
        <w:rPr>
          <w:rFonts w:ascii="Times New Roman" w:hAnsi="Times New Roman" w:cs="Times New Roman"/>
          <w:color w:val="000000"/>
        </w:rPr>
        <w:t>authorities</w:t>
      </w:r>
      <w:r w:rsidR="00660B88">
        <w:rPr>
          <w:rFonts w:ascii="Times New Roman" w:hAnsi="Times New Roman" w:cs="Times New Roman"/>
          <w:color w:val="000000"/>
        </w:rPr>
        <w:t xml:space="preserve"> granted by these sections.</w:t>
      </w:r>
    </w:p>
    <w:p w14:paraId="58C59704" w14:textId="77777777" w:rsidR="00CB37CB" w:rsidRPr="00CB37CB" w:rsidRDefault="00CB37CB" w:rsidP="00C0076A">
      <w:pPr>
        <w:pStyle w:val="NormalWeb"/>
        <w:rPr>
          <w:rFonts w:ascii="Times New Roman" w:hAnsi="Times New Roman" w:cs="Times New Roman"/>
          <w:b/>
          <w:bCs/>
          <w:color w:val="000000"/>
        </w:rPr>
      </w:pPr>
    </w:p>
    <w:p w14:paraId="3C5F7554" w14:textId="23588039" w:rsidR="00DE49F0" w:rsidRPr="00BB0FBB" w:rsidRDefault="00BB0FBB" w:rsidP="00C0076A">
      <w:pPr>
        <w:pStyle w:val="NormalWeb"/>
        <w:rPr>
          <w:rFonts w:ascii="Times New Roman" w:hAnsi="Times New Roman" w:cs="Times New Roman"/>
          <w:b/>
          <w:bCs/>
          <w:i/>
          <w:iCs/>
          <w:color w:val="2F5496" w:themeColor="accent1" w:themeShade="BF"/>
        </w:rPr>
      </w:pPr>
      <w:r w:rsidRPr="00BB0FBB">
        <w:rPr>
          <w:rFonts w:ascii="Times New Roman" w:hAnsi="Times New Roman" w:cs="Times New Roman"/>
          <w:b/>
          <w:bCs/>
          <w:color w:val="2F5496" w:themeColor="accent1" w:themeShade="BF"/>
        </w:rPr>
        <w:tab/>
      </w:r>
      <w:r w:rsidR="007801A8" w:rsidRPr="00BB0FBB">
        <w:rPr>
          <w:rFonts w:ascii="Times New Roman" w:hAnsi="Times New Roman" w:cs="Times New Roman"/>
          <w:b/>
          <w:bCs/>
          <w:color w:val="2F5496" w:themeColor="accent1" w:themeShade="BF"/>
        </w:rPr>
        <w:t xml:space="preserve">A) </w:t>
      </w:r>
      <w:r w:rsidR="00780959" w:rsidRPr="00BB0FBB">
        <w:rPr>
          <w:rFonts w:ascii="Times New Roman" w:hAnsi="Times New Roman" w:cs="Times New Roman"/>
          <w:b/>
          <w:bCs/>
          <w:i/>
          <w:iCs/>
          <w:color w:val="2F5496" w:themeColor="accent1" w:themeShade="BF"/>
        </w:rPr>
        <w:t xml:space="preserve">Section 113 </w:t>
      </w:r>
      <w:r w:rsidR="00D567FB" w:rsidRPr="00BB0FBB">
        <w:rPr>
          <w:rFonts w:ascii="Times New Roman" w:hAnsi="Times New Roman" w:cs="Times New Roman"/>
          <w:b/>
          <w:bCs/>
          <w:i/>
          <w:iCs/>
          <w:color w:val="2F5496" w:themeColor="accent1" w:themeShade="BF"/>
        </w:rPr>
        <w:t xml:space="preserve">non-bank </w:t>
      </w:r>
      <w:r w:rsidR="00780959" w:rsidRPr="00BB0FBB">
        <w:rPr>
          <w:rFonts w:ascii="Times New Roman" w:hAnsi="Times New Roman" w:cs="Times New Roman"/>
          <w:b/>
          <w:bCs/>
          <w:i/>
          <w:iCs/>
          <w:color w:val="2F5496" w:themeColor="accent1" w:themeShade="BF"/>
        </w:rPr>
        <w:t xml:space="preserve">designations </w:t>
      </w:r>
    </w:p>
    <w:p w14:paraId="00E42245" w14:textId="77777777" w:rsidR="00DE49F0" w:rsidRPr="00DE49F0" w:rsidRDefault="00DE49F0" w:rsidP="00C0076A">
      <w:pPr>
        <w:pStyle w:val="NormalWeb"/>
        <w:rPr>
          <w:rFonts w:ascii="Times New Roman" w:hAnsi="Times New Roman" w:cs="Times New Roman"/>
          <w:i/>
          <w:iCs/>
          <w:color w:val="000000"/>
        </w:rPr>
      </w:pPr>
    </w:p>
    <w:p w14:paraId="629B9DDF" w14:textId="07EA70B3" w:rsidR="00B130F0" w:rsidRDefault="00AC6943" w:rsidP="00C0076A">
      <w:pPr>
        <w:pStyle w:val="NormalWeb"/>
        <w:rPr>
          <w:rFonts w:ascii="Times New Roman" w:hAnsi="Times New Roman" w:cs="Times New Roman"/>
          <w:color w:val="000000"/>
        </w:rPr>
      </w:pPr>
      <w:r w:rsidRPr="00C760A8">
        <w:rPr>
          <w:rFonts w:ascii="Times New Roman" w:hAnsi="Times New Roman" w:cs="Times New Roman"/>
          <w:color w:val="000000"/>
        </w:rPr>
        <w:t>Section 113</w:t>
      </w:r>
      <w:r>
        <w:rPr>
          <w:rFonts w:ascii="Times New Roman" w:hAnsi="Times New Roman" w:cs="Times New Roman"/>
          <w:color w:val="000000"/>
        </w:rPr>
        <w:t xml:space="preserve"> of the Dodd-Frank Act </w:t>
      </w:r>
      <w:r w:rsidR="00EC561F">
        <w:rPr>
          <w:rFonts w:ascii="Times New Roman" w:hAnsi="Times New Roman" w:cs="Times New Roman"/>
          <w:color w:val="000000"/>
        </w:rPr>
        <w:t>allows FSOC</w:t>
      </w:r>
      <w:r w:rsidR="005C769F">
        <w:rPr>
          <w:rFonts w:ascii="Times New Roman" w:hAnsi="Times New Roman" w:cs="Times New Roman"/>
          <w:color w:val="000000"/>
        </w:rPr>
        <w:t>, by a two-thirds vote,</w:t>
      </w:r>
      <w:r w:rsidR="00361E96">
        <w:rPr>
          <w:rFonts w:ascii="Times New Roman" w:hAnsi="Times New Roman" w:cs="Times New Roman"/>
          <w:color w:val="000000"/>
        </w:rPr>
        <w:t xml:space="preserve"> to</w:t>
      </w:r>
      <w:r w:rsidR="00EC561F">
        <w:rPr>
          <w:rFonts w:ascii="Times New Roman" w:hAnsi="Times New Roman" w:cs="Times New Roman"/>
          <w:color w:val="000000"/>
        </w:rPr>
        <w:t xml:space="preserve"> designate </w:t>
      </w:r>
      <w:r w:rsidR="00C2439D">
        <w:rPr>
          <w:rFonts w:ascii="Times New Roman" w:hAnsi="Times New Roman" w:cs="Times New Roman"/>
          <w:color w:val="000000"/>
        </w:rPr>
        <w:t xml:space="preserve">a </w:t>
      </w:r>
      <w:r w:rsidR="00EC561F">
        <w:rPr>
          <w:rFonts w:ascii="Times New Roman" w:hAnsi="Times New Roman" w:cs="Times New Roman"/>
          <w:color w:val="000000"/>
        </w:rPr>
        <w:t xml:space="preserve">non-bank financial </w:t>
      </w:r>
      <w:r w:rsidR="005C769F">
        <w:rPr>
          <w:rFonts w:ascii="Times New Roman" w:hAnsi="Times New Roman" w:cs="Times New Roman"/>
          <w:color w:val="000000"/>
        </w:rPr>
        <w:t>firm</w:t>
      </w:r>
      <w:r w:rsidR="00C2439D">
        <w:rPr>
          <w:rFonts w:ascii="Times New Roman" w:hAnsi="Times New Roman" w:cs="Times New Roman"/>
          <w:color w:val="000000"/>
        </w:rPr>
        <w:t xml:space="preserve"> a</w:t>
      </w:r>
      <w:r w:rsidR="005C769F">
        <w:rPr>
          <w:rFonts w:ascii="Times New Roman" w:hAnsi="Times New Roman" w:cs="Times New Roman"/>
          <w:color w:val="000000"/>
        </w:rPr>
        <w:t xml:space="preserve">s a “threat to financial stability of the United States” and subject </w:t>
      </w:r>
      <w:r w:rsidR="00C2439D">
        <w:rPr>
          <w:rFonts w:ascii="Times New Roman" w:hAnsi="Times New Roman" w:cs="Times New Roman"/>
          <w:color w:val="000000"/>
        </w:rPr>
        <w:t>that</w:t>
      </w:r>
      <w:r w:rsidR="005C769F">
        <w:rPr>
          <w:rFonts w:ascii="Times New Roman" w:hAnsi="Times New Roman" w:cs="Times New Roman"/>
          <w:color w:val="000000"/>
        </w:rPr>
        <w:t xml:space="preserve"> firm</w:t>
      </w:r>
      <w:r w:rsidR="00C2439D">
        <w:rPr>
          <w:rFonts w:ascii="Times New Roman" w:hAnsi="Times New Roman" w:cs="Times New Roman"/>
          <w:color w:val="000000"/>
        </w:rPr>
        <w:t xml:space="preserve"> </w:t>
      </w:r>
      <w:r w:rsidR="005C769F">
        <w:rPr>
          <w:rFonts w:ascii="Times New Roman" w:hAnsi="Times New Roman" w:cs="Times New Roman"/>
          <w:color w:val="000000"/>
        </w:rPr>
        <w:t xml:space="preserve">to </w:t>
      </w:r>
      <w:r w:rsidR="00C2439D">
        <w:rPr>
          <w:rFonts w:ascii="Times New Roman" w:hAnsi="Times New Roman" w:cs="Times New Roman"/>
          <w:color w:val="000000"/>
        </w:rPr>
        <w:t xml:space="preserve">Fed </w:t>
      </w:r>
      <w:r w:rsidR="00A256EB">
        <w:rPr>
          <w:rFonts w:ascii="Times New Roman" w:hAnsi="Times New Roman" w:cs="Times New Roman"/>
          <w:color w:val="000000"/>
        </w:rPr>
        <w:t xml:space="preserve">supervision and regulation </w:t>
      </w:r>
      <w:r w:rsidR="003C6191">
        <w:rPr>
          <w:rFonts w:ascii="Times New Roman" w:hAnsi="Times New Roman" w:cs="Times New Roman"/>
          <w:color w:val="000000"/>
        </w:rPr>
        <w:t xml:space="preserve">if it determines that </w:t>
      </w:r>
      <w:r w:rsidR="00B130F0">
        <w:rPr>
          <w:rFonts w:ascii="Times New Roman" w:hAnsi="Times New Roman" w:cs="Times New Roman"/>
          <w:color w:val="000000"/>
        </w:rPr>
        <w:t>either:</w:t>
      </w:r>
      <w:r w:rsidR="00842372">
        <w:rPr>
          <w:rStyle w:val="FootnoteReference"/>
          <w:rFonts w:ascii="Times New Roman" w:hAnsi="Times New Roman" w:cs="Times New Roman"/>
          <w:color w:val="000000"/>
        </w:rPr>
        <w:footnoteReference w:id="5"/>
      </w:r>
    </w:p>
    <w:p w14:paraId="2409710B" w14:textId="77777777" w:rsidR="00646830" w:rsidRDefault="00646830" w:rsidP="00C0076A">
      <w:pPr>
        <w:pStyle w:val="NormalWeb"/>
        <w:rPr>
          <w:rFonts w:ascii="Times New Roman" w:hAnsi="Times New Roman" w:cs="Times New Roman"/>
          <w:color w:val="000000"/>
        </w:rPr>
      </w:pPr>
    </w:p>
    <w:p w14:paraId="502EDF03" w14:textId="2C80DF11" w:rsidR="00B130F0" w:rsidRDefault="003C6191" w:rsidP="00B130F0">
      <w:pPr>
        <w:pStyle w:val="NormalWeb"/>
        <w:numPr>
          <w:ilvl w:val="0"/>
          <w:numId w:val="1"/>
        </w:numPr>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material</w:t>
      </w:r>
      <w:proofErr w:type="gramEnd"/>
      <w:r>
        <w:rPr>
          <w:rFonts w:ascii="Times New Roman" w:hAnsi="Times New Roman" w:cs="Times New Roman"/>
          <w:color w:val="000000"/>
        </w:rPr>
        <w:t xml:space="preserve"> financial distress” at the firm “</w:t>
      </w:r>
      <w:r w:rsidR="000E487F">
        <w:rPr>
          <w:rFonts w:ascii="Times New Roman" w:hAnsi="Times New Roman" w:cs="Times New Roman"/>
          <w:color w:val="000000"/>
        </w:rPr>
        <w:t xml:space="preserve">could </w:t>
      </w:r>
      <w:r>
        <w:rPr>
          <w:rFonts w:ascii="Times New Roman" w:hAnsi="Times New Roman" w:cs="Times New Roman"/>
          <w:color w:val="000000"/>
        </w:rPr>
        <w:t>pose a threat to the financial stability of the United States”</w:t>
      </w:r>
      <w:r w:rsidR="006C400B">
        <w:rPr>
          <w:rFonts w:ascii="Times New Roman" w:hAnsi="Times New Roman" w:cs="Times New Roman"/>
          <w:color w:val="000000"/>
        </w:rPr>
        <w:t xml:space="preserve"> (the “First Determination Standard”)</w:t>
      </w:r>
      <w:r w:rsidR="00B17017">
        <w:rPr>
          <w:rFonts w:ascii="Times New Roman" w:hAnsi="Times New Roman" w:cs="Times New Roman"/>
          <w:color w:val="000000"/>
        </w:rPr>
        <w:t>; or</w:t>
      </w:r>
      <w:r w:rsidR="005C769F">
        <w:rPr>
          <w:rFonts w:ascii="Times New Roman" w:hAnsi="Times New Roman" w:cs="Times New Roman"/>
          <w:color w:val="000000"/>
        </w:rPr>
        <w:t xml:space="preserve"> </w:t>
      </w:r>
    </w:p>
    <w:p w14:paraId="1C89D670" w14:textId="11C46D9F" w:rsidR="00B130F0" w:rsidRDefault="00B17017" w:rsidP="00B130F0">
      <w:pPr>
        <w:pStyle w:val="NormalWeb"/>
        <w:numPr>
          <w:ilvl w:val="0"/>
          <w:numId w:val="1"/>
        </w:numPr>
        <w:rPr>
          <w:rFonts w:ascii="Times New Roman" w:hAnsi="Times New Roman" w:cs="Times New Roman"/>
          <w:color w:val="000000"/>
        </w:rPr>
      </w:pPr>
      <w:r>
        <w:rPr>
          <w:rFonts w:ascii="Times New Roman" w:hAnsi="Times New Roman" w:cs="Times New Roman"/>
          <w:color w:val="000000"/>
        </w:rPr>
        <w:t>the “nature, scope, size, scale, concentration, interconnectedness, or mix” of the firm’s activities could pose a similar threat</w:t>
      </w:r>
      <w:r w:rsidR="006C400B">
        <w:rPr>
          <w:rFonts w:ascii="Times New Roman" w:hAnsi="Times New Roman" w:cs="Times New Roman"/>
          <w:color w:val="000000"/>
        </w:rPr>
        <w:t xml:space="preserve"> (the “Second Determination Standard”).</w:t>
      </w:r>
    </w:p>
    <w:p w14:paraId="5B9A2E27" w14:textId="77777777" w:rsidR="00B130F0" w:rsidRDefault="00B130F0" w:rsidP="00C0076A">
      <w:pPr>
        <w:pStyle w:val="NormalWeb"/>
        <w:rPr>
          <w:rFonts w:ascii="Times New Roman" w:hAnsi="Times New Roman" w:cs="Times New Roman"/>
          <w:color w:val="000000"/>
        </w:rPr>
      </w:pPr>
    </w:p>
    <w:p w14:paraId="6301CA1E" w14:textId="77777777" w:rsidR="00526AE9" w:rsidRDefault="00BC692A" w:rsidP="00C0076A">
      <w:pPr>
        <w:pStyle w:val="NormalWeb"/>
        <w:rPr>
          <w:rFonts w:ascii="Times New Roman" w:hAnsi="Times New Roman" w:cs="Times New Roman"/>
          <w:color w:val="000000"/>
        </w:rPr>
      </w:pPr>
      <w:r>
        <w:rPr>
          <w:rFonts w:ascii="Times New Roman" w:hAnsi="Times New Roman" w:cs="Times New Roman"/>
          <w:color w:val="000000"/>
        </w:rPr>
        <w:t xml:space="preserve">In making this determination, FSOC is required to consider </w:t>
      </w:r>
      <w:proofErr w:type="gramStart"/>
      <w:r>
        <w:rPr>
          <w:rFonts w:ascii="Times New Roman" w:hAnsi="Times New Roman" w:cs="Times New Roman"/>
          <w:color w:val="000000"/>
        </w:rPr>
        <w:t>a number of</w:t>
      </w:r>
      <w:proofErr w:type="gramEnd"/>
      <w:r>
        <w:rPr>
          <w:rFonts w:ascii="Times New Roman" w:hAnsi="Times New Roman" w:cs="Times New Roman"/>
          <w:color w:val="000000"/>
        </w:rPr>
        <w:t xml:space="preserve"> factors, including leverage, off-balance sheet exposures, </w:t>
      </w:r>
      <w:r w:rsidR="00731336">
        <w:rPr>
          <w:rFonts w:ascii="Times New Roman" w:hAnsi="Times New Roman" w:cs="Times New Roman"/>
          <w:color w:val="000000"/>
        </w:rPr>
        <w:t xml:space="preserve">importance of the company to underserved communities, </w:t>
      </w:r>
      <w:r>
        <w:rPr>
          <w:rFonts w:ascii="Times New Roman" w:hAnsi="Times New Roman" w:cs="Times New Roman"/>
          <w:color w:val="000000"/>
        </w:rPr>
        <w:t>and transactions and relationships with other significant banks or non-bank financial firms, as well as “any other risk-related factors” that FSOC “deems appropriate.”</w:t>
      </w:r>
      <w:r>
        <w:rPr>
          <w:rStyle w:val="FootnoteReference"/>
          <w:rFonts w:ascii="Times New Roman" w:hAnsi="Times New Roman" w:cs="Times New Roman"/>
          <w:color w:val="000000"/>
        </w:rPr>
        <w:footnoteReference w:id="6"/>
      </w:r>
      <w:r>
        <w:rPr>
          <w:rFonts w:ascii="Times New Roman" w:hAnsi="Times New Roman" w:cs="Times New Roman"/>
          <w:color w:val="000000"/>
        </w:rPr>
        <w:t xml:space="preserve"> </w:t>
      </w:r>
    </w:p>
    <w:p w14:paraId="4A403D1D" w14:textId="77777777" w:rsidR="00526AE9" w:rsidRDefault="00526AE9" w:rsidP="00C0076A">
      <w:pPr>
        <w:pStyle w:val="NormalWeb"/>
        <w:rPr>
          <w:rFonts w:ascii="Times New Roman" w:hAnsi="Times New Roman" w:cs="Times New Roman"/>
          <w:color w:val="000000"/>
        </w:rPr>
      </w:pPr>
    </w:p>
    <w:p w14:paraId="31A9FF99" w14:textId="56B3C959" w:rsidR="009F62D1" w:rsidRDefault="00822F2D" w:rsidP="00C0076A">
      <w:pPr>
        <w:pStyle w:val="NormalWeb"/>
        <w:rPr>
          <w:rFonts w:ascii="Times New Roman" w:hAnsi="Times New Roman" w:cs="Times New Roman"/>
          <w:color w:val="000000"/>
        </w:rPr>
      </w:pPr>
      <w:r>
        <w:rPr>
          <w:rFonts w:ascii="Times New Roman" w:hAnsi="Times New Roman" w:cs="Times New Roman"/>
          <w:color w:val="000000"/>
        </w:rPr>
        <w:t>Section 113(e) of the</w:t>
      </w:r>
      <w:r w:rsidR="00D3462B">
        <w:rPr>
          <w:rFonts w:ascii="Times New Roman" w:hAnsi="Times New Roman" w:cs="Times New Roman"/>
          <w:color w:val="000000"/>
        </w:rPr>
        <w:t xml:space="preserve"> Dodd-Frank Act</w:t>
      </w:r>
      <w:r w:rsidR="0066267B">
        <w:rPr>
          <w:rFonts w:ascii="Times New Roman" w:hAnsi="Times New Roman" w:cs="Times New Roman"/>
          <w:color w:val="000000"/>
        </w:rPr>
        <w:t xml:space="preserve"> requires that before</w:t>
      </w:r>
      <w:r w:rsidR="006F5908">
        <w:rPr>
          <w:rFonts w:ascii="Times New Roman" w:hAnsi="Times New Roman" w:cs="Times New Roman"/>
          <w:color w:val="000000"/>
        </w:rPr>
        <w:t xml:space="preserve"> </w:t>
      </w:r>
      <w:r w:rsidR="000C29B6">
        <w:rPr>
          <w:rFonts w:ascii="Times New Roman" w:hAnsi="Times New Roman" w:cs="Times New Roman"/>
          <w:color w:val="000000"/>
        </w:rPr>
        <w:t xml:space="preserve">any </w:t>
      </w:r>
      <w:r w:rsidR="00D3462B">
        <w:rPr>
          <w:rFonts w:ascii="Times New Roman" w:hAnsi="Times New Roman" w:cs="Times New Roman"/>
          <w:color w:val="000000"/>
        </w:rPr>
        <w:t xml:space="preserve">Section 113 </w:t>
      </w:r>
      <w:r w:rsidR="006F5908">
        <w:rPr>
          <w:rFonts w:ascii="Times New Roman" w:hAnsi="Times New Roman" w:cs="Times New Roman"/>
          <w:color w:val="000000"/>
        </w:rPr>
        <w:t xml:space="preserve">designation, </w:t>
      </w:r>
      <w:r w:rsidR="000C29B6">
        <w:rPr>
          <w:rFonts w:ascii="Times New Roman" w:hAnsi="Times New Roman" w:cs="Times New Roman"/>
          <w:color w:val="000000"/>
        </w:rPr>
        <w:t xml:space="preserve">a </w:t>
      </w:r>
      <w:r w:rsidR="006F5908">
        <w:rPr>
          <w:rFonts w:ascii="Times New Roman" w:hAnsi="Times New Roman" w:cs="Times New Roman"/>
          <w:color w:val="000000"/>
        </w:rPr>
        <w:t>non-bank financial compan</w:t>
      </w:r>
      <w:r w:rsidR="000C29B6">
        <w:rPr>
          <w:rFonts w:ascii="Times New Roman" w:hAnsi="Times New Roman" w:cs="Times New Roman"/>
          <w:color w:val="000000"/>
        </w:rPr>
        <w:t>y</w:t>
      </w:r>
      <w:r w:rsidR="00D52592">
        <w:rPr>
          <w:rFonts w:ascii="Times New Roman" w:hAnsi="Times New Roman" w:cs="Times New Roman"/>
          <w:color w:val="000000"/>
        </w:rPr>
        <w:t xml:space="preserve"> being considered for designation</w:t>
      </w:r>
      <w:r w:rsidR="006F5908">
        <w:rPr>
          <w:rFonts w:ascii="Times New Roman" w:hAnsi="Times New Roman" w:cs="Times New Roman"/>
          <w:color w:val="000000"/>
        </w:rPr>
        <w:t xml:space="preserve"> be provided with a written notice of a proposed FSOC determination, </w:t>
      </w:r>
      <w:r w:rsidR="00FB3344">
        <w:rPr>
          <w:rFonts w:ascii="Times New Roman" w:hAnsi="Times New Roman" w:cs="Times New Roman"/>
          <w:color w:val="000000"/>
        </w:rPr>
        <w:t xml:space="preserve">including an explanation of the basis for the proposed determination, </w:t>
      </w:r>
      <w:r w:rsidR="006F5908">
        <w:rPr>
          <w:rFonts w:ascii="Times New Roman" w:hAnsi="Times New Roman" w:cs="Times New Roman"/>
          <w:color w:val="000000"/>
        </w:rPr>
        <w:t xml:space="preserve">and </w:t>
      </w:r>
      <w:r w:rsidR="0066267B">
        <w:rPr>
          <w:rFonts w:ascii="Times New Roman" w:hAnsi="Times New Roman" w:cs="Times New Roman"/>
          <w:color w:val="000000"/>
        </w:rPr>
        <w:t xml:space="preserve">the opportunity for </w:t>
      </w:r>
      <w:r w:rsidR="006F5908">
        <w:rPr>
          <w:rFonts w:ascii="Times New Roman" w:hAnsi="Times New Roman" w:cs="Times New Roman"/>
          <w:color w:val="000000"/>
        </w:rPr>
        <w:t>a hearing</w:t>
      </w:r>
      <w:r w:rsidR="0066267B">
        <w:rPr>
          <w:rFonts w:ascii="Times New Roman" w:hAnsi="Times New Roman" w:cs="Times New Roman"/>
          <w:color w:val="000000"/>
        </w:rPr>
        <w:t xml:space="preserve"> to contest the proposed determination </w:t>
      </w:r>
      <w:r w:rsidR="006F5908">
        <w:rPr>
          <w:rFonts w:ascii="Times New Roman" w:hAnsi="Times New Roman" w:cs="Times New Roman"/>
          <w:color w:val="000000"/>
        </w:rPr>
        <w:t xml:space="preserve">no later than 30 days after the receipt of </w:t>
      </w:r>
      <w:r w:rsidR="00D402BE">
        <w:rPr>
          <w:rFonts w:ascii="Times New Roman" w:hAnsi="Times New Roman" w:cs="Times New Roman"/>
          <w:color w:val="000000"/>
        </w:rPr>
        <w:t>the written notice</w:t>
      </w:r>
      <w:r w:rsidR="006F5908">
        <w:rPr>
          <w:rFonts w:ascii="Times New Roman" w:hAnsi="Times New Roman" w:cs="Times New Roman"/>
          <w:color w:val="000000"/>
        </w:rPr>
        <w:t>.</w:t>
      </w:r>
      <w:r w:rsidR="0066267B">
        <w:rPr>
          <w:rStyle w:val="FootnoteReference"/>
          <w:rFonts w:ascii="Times New Roman" w:hAnsi="Times New Roman" w:cs="Times New Roman"/>
          <w:color w:val="000000"/>
        </w:rPr>
        <w:footnoteReference w:id="7"/>
      </w:r>
      <w:r w:rsidR="006F5908">
        <w:rPr>
          <w:rFonts w:ascii="Times New Roman" w:hAnsi="Times New Roman" w:cs="Times New Roman"/>
          <w:color w:val="000000"/>
        </w:rPr>
        <w:t xml:space="preserve"> </w:t>
      </w:r>
      <w:r w:rsidR="0034692E">
        <w:rPr>
          <w:rFonts w:ascii="Times New Roman" w:hAnsi="Times New Roman" w:cs="Times New Roman"/>
          <w:color w:val="000000"/>
        </w:rPr>
        <w:t>It also requires that n</w:t>
      </w:r>
      <w:r w:rsidR="0066267B">
        <w:rPr>
          <w:rFonts w:ascii="Times New Roman" w:hAnsi="Times New Roman" w:cs="Times New Roman"/>
          <w:color w:val="000000"/>
        </w:rPr>
        <w:t xml:space="preserve">o later than 60 days after </w:t>
      </w:r>
      <w:r w:rsidR="00D52592">
        <w:rPr>
          <w:rFonts w:ascii="Times New Roman" w:hAnsi="Times New Roman" w:cs="Times New Roman"/>
          <w:color w:val="000000"/>
        </w:rPr>
        <w:t xml:space="preserve">such a </w:t>
      </w:r>
      <w:r w:rsidR="0066267B">
        <w:rPr>
          <w:rFonts w:ascii="Times New Roman" w:hAnsi="Times New Roman" w:cs="Times New Roman"/>
          <w:color w:val="000000"/>
        </w:rPr>
        <w:t xml:space="preserve">hearing, FSOC </w:t>
      </w:r>
      <w:r w:rsidR="00EE5FE3">
        <w:rPr>
          <w:rFonts w:ascii="Times New Roman" w:hAnsi="Times New Roman" w:cs="Times New Roman"/>
          <w:color w:val="000000"/>
        </w:rPr>
        <w:t xml:space="preserve">decide whether to designate </w:t>
      </w:r>
      <w:r w:rsidR="00545055">
        <w:rPr>
          <w:rFonts w:ascii="Times New Roman" w:hAnsi="Times New Roman" w:cs="Times New Roman"/>
          <w:color w:val="000000"/>
        </w:rPr>
        <w:t xml:space="preserve">the non-bank financial company </w:t>
      </w:r>
      <w:r w:rsidR="00EE5FE3">
        <w:rPr>
          <w:rFonts w:ascii="Times New Roman" w:hAnsi="Times New Roman" w:cs="Times New Roman"/>
          <w:color w:val="000000"/>
        </w:rPr>
        <w:t xml:space="preserve">and notify it accordingly, providing </w:t>
      </w:r>
      <w:r w:rsidR="001D359F">
        <w:rPr>
          <w:rFonts w:ascii="Times New Roman" w:hAnsi="Times New Roman" w:cs="Times New Roman"/>
          <w:color w:val="000000"/>
        </w:rPr>
        <w:t xml:space="preserve">a statement of the basis for </w:t>
      </w:r>
      <w:r w:rsidR="00B31017">
        <w:rPr>
          <w:rFonts w:ascii="Times New Roman" w:hAnsi="Times New Roman" w:cs="Times New Roman"/>
          <w:color w:val="000000"/>
        </w:rPr>
        <w:t xml:space="preserve">any </w:t>
      </w:r>
      <w:r w:rsidR="001D359F">
        <w:rPr>
          <w:rFonts w:ascii="Times New Roman" w:hAnsi="Times New Roman" w:cs="Times New Roman"/>
          <w:color w:val="000000"/>
        </w:rPr>
        <w:t>decision</w:t>
      </w:r>
      <w:r w:rsidR="00B31017">
        <w:rPr>
          <w:rFonts w:ascii="Times New Roman" w:hAnsi="Times New Roman" w:cs="Times New Roman"/>
          <w:color w:val="000000"/>
        </w:rPr>
        <w:t xml:space="preserve"> to designate a non-bank</w:t>
      </w:r>
      <w:r w:rsidR="00635579">
        <w:rPr>
          <w:rFonts w:ascii="Times New Roman" w:hAnsi="Times New Roman" w:cs="Times New Roman"/>
          <w:color w:val="000000"/>
        </w:rPr>
        <w:t xml:space="preserve"> financial firm</w:t>
      </w:r>
      <w:r w:rsidR="001D359F">
        <w:rPr>
          <w:rFonts w:ascii="Times New Roman" w:hAnsi="Times New Roman" w:cs="Times New Roman"/>
          <w:color w:val="000000"/>
        </w:rPr>
        <w:t>.</w:t>
      </w:r>
      <w:r w:rsidR="00D3462B">
        <w:rPr>
          <w:rStyle w:val="FootnoteReference"/>
          <w:rFonts w:ascii="Times New Roman" w:hAnsi="Times New Roman" w:cs="Times New Roman"/>
          <w:color w:val="000000"/>
        </w:rPr>
        <w:footnoteReference w:id="8"/>
      </w:r>
      <w:r>
        <w:rPr>
          <w:rFonts w:ascii="Times New Roman" w:hAnsi="Times New Roman" w:cs="Times New Roman"/>
          <w:color w:val="000000"/>
        </w:rPr>
        <w:t xml:space="preserve"> However,</w:t>
      </w:r>
      <w:r w:rsidR="00145B75">
        <w:rPr>
          <w:rFonts w:ascii="Times New Roman" w:hAnsi="Times New Roman" w:cs="Times New Roman"/>
          <w:color w:val="000000"/>
        </w:rPr>
        <w:t xml:space="preserve"> </w:t>
      </w:r>
      <w:r w:rsidR="0034692E">
        <w:rPr>
          <w:rFonts w:ascii="Times New Roman" w:hAnsi="Times New Roman" w:cs="Times New Roman"/>
          <w:color w:val="000000"/>
        </w:rPr>
        <w:t xml:space="preserve">these </w:t>
      </w:r>
      <w:r w:rsidR="00BC692A">
        <w:rPr>
          <w:rFonts w:ascii="Times New Roman" w:hAnsi="Times New Roman" w:cs="Times New Roman"/>
          <w:color w:val="000000"/>
        </w:rPr>
        <w:t>Section 113(</w:t>
      </w:r>
      <w:r w:rsidR="0034692E">
        <w:rPr>
          <w:rFonts w:ascii="Times New Roman" w:hAnsi="Times New Roman" w:cs="Times New Roman"/>
          <w:color w:val="000000"/>
        </w:rPr>
        <w:t>e</w:t>
      </w:r>
      <w:r w:rsidR="00BC692A">
        <w:rPr>
          <w:rFonts w:ascii="Times New Roman" w:hAnsi="Times New Roman" w:cs="Times New Roman"/>
          <w:color w:val="000000"/>
        </w:rPr>
        <w:t xml:space="preserve">) </w:t>
      </w:r>
      <w:r w:rsidR="0034692E">
        <w:rPr>
          <w:rFonts w:ascii="Times New Roman" w:hAnsi="Times New Roman" w:cs="Times New Roman"/>
          <w:color w:val="000000"/>
        </w:rPr>
        <w:t xml:space="preserve">procedural requirements can be waived or modified by a two-thirds </w:t>
      </w:r>
      <w:r w:rsidR="000C29B6">
        <w:rPr>
          <w:rFonts w:ascii="Times New Roman" w:hAnsi="Times New Roman" w:cs="Times New Roman"/>
          <w:color w:val="000000"/>
        </w:rPr>
        <w:t xml:space="preserve">majority </w:t>
      </w:r>
      <w:r w:rsidR="0034692E">
        <w:rPr>
          <w:rFonts w:ascii="Times New Roman" w:hAnsi="Times New Roman" w:cs="Times New Roman"/>
          <w:color w:val="000000"/>
        </w:rPr>
        <w:t xml:space="preserve">vote </w:t>
      </w:r>
      <w:r w:rsidR="009F62D1">
        <w:rPr>
          <w:rFonts w:ascii="Times New Roman" w:hAnsi="Times New Roman" w:cs="Times New Roman"/>
          <w:color w:val="000000"/>
        </w:rPr>
        <w:t xml:space="preserve">under Section 113(f) </w:t>
      </w:r>
      <w:r w:rsidR="0034692E">
        <w:rPr>
          <w:rFonts w:ascii="Times New Roman" w:hAnsi="Times New Roman" w:cs="Times New Roman"/>
          <w:color w:val="000000"/>
        </w:rPr>
        <w:t>if FSOC determines “that such waiver or modification is necessary or appropriate to mitigate threats posed by the nonbank financial company to the financial stability of the United States.”</w:t>
      </w:r>
      <w:r w:rsidR="000C29B6">
        <w:rPr>
          <w:rStyle w:val="FootnoteReference"/>
          <w:rFonts w:ascii="Times New Roman" w:hAnsi="Times New Roman" w:cs="Times New Roman"/>
          <w:color w:val="000000"/>
        </w:rPr>
        <w:footnoteReference w:id="9"/>
      </w:r>
      <w:r w:rsidR="000C29B6">
        <w:rPr>
          <w:rFonts w:ascii="Times New Roman" w:hAnsi="Times New Roman" w:cs="Times New Roman"/>
          <w:color w:val="000000"/>
        </w:rPr>
        <w:t xml:space="preserve"> </w:t>
      </w:r>
    </w:p>
    <w:p w14:paraId="0879565E" w14:textId="77777777" w:rsidR="009F62D1" w:rsidRDefault="009F62D1" w:rsidP="00C0076A">
      <w:pPr>
        <w:pStyle w:val="NormalWeb"/>
        <w:rPr>
          <w:rFonts w:ascii="Times New Roman" w:hAnsi="Times New Roman" w:cs="Times New Roman"/>
          <w:color w:val="000000"/>
        </w:rPr>
      </w:pPr>
    </w:p>
    <w:p w14:paraId="581BD65A" w14:textId="3127AFCA" w:rsidR="006F5908" w:rsidRDefault="00145B75" w:rsidP="00C0076A">
      <w:pPr>
        <w:pStyle w:val="NormalWeb"/>
        <w:rPr>
          <w:rFonts w:ascii="Times New Roman" w:hAnsi="Times New Roman" w:cs="Times New Roman"/>
          <w:color w:val="000000"/>
        </w:rPr>
      </w:pPr>
      <w:r>
        <w:rPr>
          <w:rFonts w:ascii="Times New Roman" w:hAnsi="Times New Roman" w:cs="Times New Roman"/>
          <w:color w:val="000000"/>
        </w:rPr>
        <w:t>FSOC can by a two-thirds majority vote to rescind designations</w:t>
      </w:r>
      <w:r w:rsidR="0091689A">
        <w:rPr>
          <w:rFonts w:ascii="Times New Roman" w:hAnsi="Times New Roman" w:cs="Times New Roman"/>
          <w:color w:val="000000"/>
        </w:rPr>
        <w:t xml:space="preserve">, and </w:t>
      </w:r>
      <w:r w:rsidR="000C29B6">
        <w:rPr>
          <w:rFonts w:ascii="Times New Roman" w:hAnsi="Times New Roman" w:cs="Times New Roman"/>
          <w:color w:val="000000"/>
        </w:rPr>
        <w:t xml:space="preserve">importantly, </w:t>
      </w:r>
      <w:r w:rsidR="0091689A">
        <w:rPr>
          <w:rFonts w:ascii="Times New Roman" w:hAnsi="Times New Roman" w:cs="Times New Roman"/>
          <w:color w:val="000000"/>
        </w:rPr>
        <w:t>is required to reevaluate Section 113 designations on an annual basis.</w:t>
      </w:r>
      <w:r w:rsidR="0091689A">
        <w:rPr>
          <w:rStyle w:val="FootnoteReference"/>
          <w:rFonts w:ascii="Times New Roman" w:hAnsi="Times New Roman" w:cs="Times New Roman"/>
          <w:color w:val="000000"/>
        </w:rPr>
        <w:footnoteReference w:id="10"/>
      </w:r>
      <w:r w:rsidR="004E4E7B">
        <w:rPr>
          <w:rFonts w:ascii="Times New Roman" w:hAnsi="Times New Roman" w:cs="Times New Roman"/>
          <w:color w:val="000000"/>
        </w:rPr>
        <w:t xml:space="preserve"> </w:t>
      </w:r>
    </w:p>
    <w:p w14:paraId="1E3CBBE2" w14:textId="7DD6D693" w:rsidR="00984DD1" w:rsidRDefault="00984DD1">
      <w:pPr>
        <w:rPr>
          <w:rFonts w:ascii="Times New Roman" w:eastAsiaTheme="minorEastAsia" w:hAnsi="Times New Roman" w:cs="Times New Roman"/>
          <w:color w:val="000000"/>
          <w:kern w:val="0"/>
        </w:rPr>
      </w:pPr>
      <w:r>
        <w:rPr>
          <w:rFonts w:ascii="Times New Roman" w:hAnsi="Times New Roman" w:cs="Times New Roman"/>
          <w:color w:val="000000"/>
        </w:rPr>
        <w:br w:type="page"/>
      </w:r>
    </w:p>
    <w:p w14:paraId="4F10FB02" w14:textId="2AAED0E2" w:rsidR="00C2439D" w:rsidRPr="006E482F" w:rsidRDefault="00BB0FBB" w:rsidP="00C2439D">
      <w:pPr>
        <w:pStyle w:val="NormalWeb"/>
        <w:rPr>
          <w:rFonts w:ascii="Times New Roman" w:hAnsi="Times New Roman" w:cs="Times New Roman"/>
          <w:b/>
          <w:bCs/>
          <w:i/>
          <w:iCs/>
          <w:color w:val="2F5496" w:themeColor="accent1" w:themeShade="BF"/>
        </w:rPr>
      </w:pPr>
      <w:r w:rsidRPr="006E482F">
        <w:rPr>
          <w:rFonts w:ascii="Times New Roman" w:hAnsi="Times New Roman" w:cs="Times New Roman"/>
          <w:b/>
          <w:bCs/>
          <w:i/>
          <w:iCs/>
          <w:color w:val="2F5496" w:themeColor="accent1" w:themeShade="BF"/>
        </w:rPr>
        <w:lastRenderedPageBreak/>
        <w:tab/>
      </w:r>
      <w:r w:rsidRPr="006E482F">
        <w:rPr>
          <w:rFonts w:ascii="Times New Roman" w:hAnsi="Times New Roman" w:cs="Times New Roman"/>
          <w:b/>
          <w:bCs/>
          <w:color w:val="2F5496" w:themeColor="accent1" w:themeShade="BF"/>
        </w:rPr>
        <w:t>B)</w:t>
      </w:r>
      <w:r w:rsidRPr="006E482F">
        <w:rPr>
          <w:rFonts w:ascii="Times New Roman" w:hAnsi="Times New Roman" w:cs="Times New Roman"/>
          <w:b/>
          <w:bCs/>
          <w:i/>
          <w:iCs/>
          <w:color w:val="2F5496" w:themeColor="accent1" w:themeShade="BF"/>
        </w:rPr>
        <w:t xml:space="preserve"> </w:t>
      </w:r>
      <w:r w:rsidR="00C2439D" w:rsidRPr="006E482F">
        <w:rPr>
          <w:rFonts w:ascii="Times New Roman" w:hAnsi="Times New Roman" w:cs="Times New Roman"/>
          <w:b/>
          <w:bCs/>
          <w:i/>
          <w:iCs/>
          <w:color w:val="2F5496" w:themeColor="accent1" w:themeShade="BF"/>
        </w:rPr>
        <w:t xml:space="preserve">Section 804 </w:t>
      </w:r>
      <w:r w:rsidR="0011219A" w:rsidRPr="006E482F">
        <w:rPr>
          <w:rFonts w:ascii="Times New Roman" w:hAnsi="Times New Roman" w:cs="Times New Roman"/>
          <w:b/>
          <w:bCs/>
          <w:i/>
          <w:iCs/>
          <w:color w:val="2F5496" w:themeColor="accent1" w:themeShade="BF"/>
        </w:rPr>
        <w:t>entity</w:t>
      </w:r>
      <w:r w:rsidR="00D567FB" w:rsidRPr="006E482F">
        <w:rPr>
          <w:rFonts w:ascii="Times New Roman" w:hAnsi="Times New Roman" w:cs="Times New Roman"/>
          <w:b/>
          <w:bCs/>
          <w:i/>
          <w:iCs/>
          <w:color w:val="2F5496" w:themeColor="accent1" w:themeShade="BF"/>
        </w:rPr>
        <w:t xml:space="preserve">-specific </w:t>
      </w:r>
      <w:r w:rsidR="00634EEA" w:rsidRPr="006E482F">
        <w:rPr>
          <w:rFonts w:ascii="Times New Roman" w:hAnsi="Times New Roman" w:cs="Times New Roman"/>
          <w:b/>
          <w:bCs/>
          <w:i/>
          <w:iCs/>
          <w:color w:val="2F5496" w:themeColor="accent1" w:themeShade="BF"/>
        </w:rPr>
        <w:t xml:space="preserve">and </w:t>
      </w:r>
      <w:r w:rsidR="001467B1" w:rsidRPr="006E482F">
        <w:rPr>
          <w:rFonts w:ascii="Times New Roman" w:hAnsi="Times New Roman" w:cs="Times New Roman"/>
          <w:b/>
          <w:bCs/>
          <w:i/>
          <w:iCs/>
          <w:color w:val="2F5496" w:themeColor="accent1" w:themeShade="BF"/>
        </w:rPr>
        <w:t>activity</w:t>
      </w:r>
      <w:r w:rsidR="00634EEA" w:rsidRPr="006E482F">
        <w:rPr>
          <w:rFonts w:ascii="Times New Roman" w:hAnsi="Times New Roman" w:cs="Times New Roman"/>
          <w:b/>
          <w:bCs/>
          <w:i/>
          <w:iCs/>
          <w:color w:val="2F5496" w:themeColor="accent1" w:themeShade="BF"/>
        </w:rPr>
        <w:t xml:space="preserve"> </w:t>
      </w:r>
      <w:r w:rsidR="00D567FB" w:rsidRPr="006E482F">
        <w:rPr>
          <w:rFonts w:ascii="Times New Roman" w:hAnsi="Times New Roman" w:cs="Times New Roman"/>
          <w:b/>
          <w:bCs/>
          <w:i/>
          <w:iCs/>
          <w:color w:val="2F5496" w:themeColor="accent1" w:themeShade="BF"/>
        </w:rPr>
        <w:t>designations</w:t>
      </w:r>
      <w:r w:rsidR="00C2439D" w:rsidRPr="006E482F">
        <w:rPr>
          <w:rFonts w:ascii="Times New Roman" w:hAnsi="Times New Roman" w:cs="Times New Roman"/>
          <w:b/>
          <w:bCs/>
          <w:i/>
          <w:iCs/>
          <w:color w:val="2F5496" w:themeColor="accent1" w:themeShade="BF"/>
        </w:rPr>
        <w:t xml:space="preserve"> </w:t>
      </w:r>
    </w:p>
    <w:p w14:paraId="515F4619" w14:textId="77777777" w:rsidR="00C2439D" w:rsidRDefault="00C2439D" w:rsidP="00C0076A">
      <w:pPr>
        <w:pStyle w:val="NormalWeb"/>
        <w:rPr>
          <w:rFonts w:ascii="Times New Roman" w:hAnsi="Times New Roman" w:cs="Times New Roman"/>
          <w:color w:val="000000"/>
        </w:rPr>
      </w:pPr>
    </w:p>
    <w:p w14:paraId="335E7B16" w14:textId="51E0D27A" w:rsidR="006D03BB" w:rsidRDefault="00C1384B" w:rsidP="004F7E23">
      <w:pPr>
        <w:pStyle w:val="NormalWeb"/>
        <w:rPr>
          <w:rFonts w:ascii="Times New Roman" w:hAnsi="Times New Roman" w:cs="Times New Roman"/>
          <w:color w:val="000000"/>
        </w:rPr>
      </w:pPr>
      <w:r>
        <w:rPr>
          <w:rFonts w:ascii="Times New Roman" w:hAnsi="Times New Roman" w:cs="Times New Roman"/>
          <w:color w:val="000000"/>
        </w:rPr>
        <w:t>Section 804 of the Dodd-Frank Act</w:t>
      </w:r>
      <w:r w:rsidR="006A501C">
        <w:rPr>
          <w:rFonts w:ascii="Times New Roman" w:hAnsi="Times New Roman" w:cs="Times New Roman"/>
          <w:color w:val="000000"/>
        </w:rPr>
        <w:t xml:space="preserve"> allows FSOC, by a two-thirds vote, </w:t>
      </w:r>
      <w:r w:rsidR="008439EE">
        <w:rPr>
          <w:rFonts w:ascii="Times New Roman" w:hAnsi="Times New Roman" w:cs="Times New Roman"/>
          <w:color w:val="000000"/>
        </w:rPr>
        <w:t xml:space="preserve">to </w:t>
      </w:r>
      <w:r w:rsidR="006A501C">
        <w:rPr>
          <w:rFonts w:ascii="Times New Roman" w:hAnsi="Times New Roman" w:cs="Times New Roman"/>
          <w:color w:val="000000"/>
        </w:rPr>
        <w:t xml:space="preserve">designate </w:t>
      </w:r>
      <w:r w:rsidR="00876F17">
        <w:rPr>
          <w:rFonts w:ascii="Times New Roman" w:hAnsi="Times New Roman" w:cs="Times New Roman"/>
          <w:color w:val="000000"/>
        </w:rPr>
        <w:t>so-called “financial market utilit</w:t>
      </w:r>
      <w:r w:rsidR="00A742B0">
        <w:rPr>
          <w:rFonts w:ascii="Times New Roman" w:hAnsi="Times New Roman" w:cs="Times New Roman"/>
          <w:color w:val="000000"/>
        </w:rPr>
        <w:t>ies</w:t>
      </w:r>
      <w:r w:rsidR="00876F17">
        <w:rPr>
          <w:rFonts w:ascii="Times New Roman" w:hAnsi="Times New Roman" w:cs="Times New Roman"/>
          <w:color w:val="000000"/>
        </w:rPr>
        <w:t xml:space="preserve">” </w:t>
      </w:r>
      <w:r w:rsidR="00492F24">
        <w:rPr>
          <w:rFonts w:ascii="Times New Roman" w:hAnsi="Times New Roman" w:cs="Times New Roman"/>
          <w:color w:val="000000"/>
        </w:rPr>
        <w:t>(“FMU</w:t>
      </w:r>
      <w:r w:rsidR="00A742B0">
        <w:rPr>
          <w:rFonts w:ascii="Times New Roman" w:hAnsi="Times New Roman" w:cs="Times New Roman"/>
          <w:color w:val="000000"/>
        </w:rPr>
        <w:t>s</w:t>
      </w:r>
      <w:r w:rsidR="00492F24">
        <w:rPr>
          <w:rFonts w:ascii="Times New Roman" w:hAnsi="Times New Roman" w:cs="Times New Roman"/>
          <w:color w:val="000000"/>
        </w:rPr>
        <w:t xml:space="preserve">”) </w:t>
      </w:r>
      <w:r w:rsidR="002A7A25">
        <w:rPr>
          <w:rFonts w:ascii="Times New Roman" w:hAnsi="Times New Roman" w:cs="Times New Roman"/>
          <w:color w:val="000000"/>
        </w:rPr>
        <w:t xml:space="preserve">that it “determines are, or are likely to become, </w:t>
      </w:r>
      <w:r w:rsidR="00876F17">
        <w:rPr>
          <w:rFonts w:ascii="Times New Roman" w:hAnsi="Times New Roman" w:cs="Times New Roman"/>
          <w:color w:val="000000"/>
        </w:rPr>
        <w:t>systemically important</w:t>
      </w:r>
      <w:r w:rsidR="003C52D2">
        <w:rPr>
          <w:rFonts w:ascii="Times New Roman" w:hAnsi="Times New Roman" w:cs="Times New Roman"/>
          <w:color w:val="000000"/>
        </w:rPr>
        <w:t>.</w:t>
      </w:r>
      <w:r w:rsidR="00876F17">
        <w:rPr>
          <w:rFonts w:ascii="Times New Roman" w:hAnsi="Times New Roman" w:cs="Times New Roman"/>
          <w:color w:val="000000"/>
        </w:rPr>
        <w:t>”</w:t>
      </w:r>
      <w:r w:rsidR="00635579">
        <w:rPr>
          <w:rStyle w:val="FootnoteReference"/>
          <w:rFonts w:ascii="Times New Roman" w:hAnsi="Times New Roman" w:cs="Times New Roman"/>
          <w:color w:val="000000"/>
        </w:rPr>
        <w:footnoteReference w:id="11"/>
      </w:r>
      <w:r w:rsidR="00876F17">
        <w:rPr>
          <w:rFonts w:ascii="Times New Roman" w:hAnsi="Times New Roman" w:cs="Times New Roman"/>
          <w:color w:val="000000"/>
        </w:rPr>
        <w:t xml:space="preserve"> </w:t>
      </w:r>
      <w:r w:rsidR="00926CEB">
        <w:rPr>
          <w:rFonts w:ascii="Times New Roman" w:hAnsi="Times New Roman" w:cs="Times New Roman"/>
          <w:color w:val="000000"/>
        </w:rPr>
        <w:t xml:space="preserve">The Dodd-Frank Act defines </w:t>
      </w:r>
      <w:r w:rsidR="00395448">
        <w:rPr>
          <w:rFonts w:ascii="Times New Roman" w:hAnsi="Times New Roman" w:cs="Times New Roman"/>
          <w:color w:val="000000"/>
        </w:rPr>
        <w:t>FMU</w:t>
      </w:r>
      <w:r w:rsidR="00A742B0">
        <w:rPr>
          <w:rFonts w:ascii="Times New Roman" w:hAnsi="Times New Roman" w:cs="Times New Roman"/>
          <w:color w:val="000000"/>
        </w:rPr>
        <w:t>s</w:t>
      </w:r>
      <w:r w:rsidR="00395448">
        <w:rPr>
          <w:rFonts w:ascii="Times New Roman" w:hAnsi="Times New Roman" w:cs="Times New Roman"/>
          <w:color w:val="000000"/>
        </w:rPr>
        <w:t xml:space="preserve"> as </w:t>
      </w:r>
      <w:r w:rsidR="004F7E23">
        <w:rPr>
          <w:rFonts w:ascii="Times New Roman" w:hAnsi="Times New Roman" w:cs="Times New Roman"/>
          <w:color w:val="000000"/>
        </w:rPr>
        <w:t>entit</w:t>
      </w:r>
      <w:r w:rsidR="00A742B0">
        <w:rPr>
          <w:rFonts w:ascii="Times New Roman" w:hAnsi="Times New Roman" w:cs="Times New Roman"/>
          <w:color w:val="000000"/>
        </w:rPr>
        <w:t xml:space="preserve">ies </w:t>
      </w:r>
      <w:r w:rsidR="004F7E23" w:rsidRPr="004F7E23">
        <w:rPr>
          <w:rFonts w:ascii="Times New Roman" w:hAnsi="Times New Roman" w:cs="Times New Roman"/>
          <w:color w:val="000000"/>
        </w:rPr>
        <w:t>that manage</w:t>
      </w:r>
      <w:r w:rsidR="00A742B0">
        <w:rPr>
          <w:rFonts w:ascii="Times New Roman" w:hAnsi="Times New Roman" w:cs="Times New Roman"/>
          <w:color w:val="000000"/>
        </w:rPr>
        <w:t xml:space="preserve"> </w:t>
      </w:r>
      <w:r w:rsidR="004F7E23" w:rsidRPr="004F7E23">
        <w:rPr>
          <w:rFonts w:ascii="Times New Roman" w:hAnsi="Times New Roman" w:cs="Times New Roman"/>
          <w:color w:val="000000"/>
        </w:rPr>
        <w:t>or operate</w:t>
      </w:r>
      <w:r w:rsidR="00A742B0">
        <w:rPr>
          <w:rFonts w:ascii="Times New Roman" w:hAnsi="Times New Roman" w:cs="Times New Roman"/>
          <w:color w:val="000000"/>
        </w:rPr>
        <w:t xml:space="preserve"> </w:t>
      </w:r>
      <w:r w:rsidR="004F7E23" w:rsidRPr="004F7E23">
        <w:rPr>
          <w:rFonts w:ascii="Times New Roman" w:hAnsi="Times New Roman" w:cs="Times New Roman"/>
          <w:color w:val="000000"/>
        </w:rPr>
        <w:t>multilateral system</w:t>
      </w:r>
      <w:r w:rsidR="00A742B0">
        <w:rPr>
          <w:rFonts w:ascii="Times New Roman" w:hAnsi="Times New Roman" w:cs="Times New Roman"/>
          <w:color w:val="000000"/>
        </w:rPr>
        <w:t>s</w:t>
      </w:r>
      <w:r w:rsidR="004F7E23" w:rsidRPr="004F7E23">
        <w:rPr>
          <w:rFonts w:ascii="Times New Roman" w:hAnsi="Times New Roman" w:cs="Times New Roman"/>
          <w:color w:val="000000"/>
        </w:rPr>
        <w:t xml:space="preserve"> </w:t>
      </w:r>
      <w:r w:rsidR="00A742B0">
        <w:rPr>
          <w:rFonts w:ascii="Times New Roman" w:hAnsi="Times New Roman" w:cs="Times New Roman"/>
          <w:color w:val="000000"/>
        </w:rPr>
        <w:t>“</w:t>
      </w:r>
      <w:r w:rsidR="004F7E23" w:rsidRPr="004F7E23">
        <w:rPr>
          <w:rFonts w:ascii="Times New Roman" w:hAnsi="Times New Roman" w:cs="Times New Roman"/>
          <w:color w:val="000000"/>
        </w:rPr>
        <w:t>for the purpose of transferring, clearing, or settling payments, securities, or other financial transactions among financial institutions or between financial institutions and the person</w:t>
      </w:r>
      <w:r w:rsidR="004F7E23">
        <w:rPr>
          <w:rFonts w:ascii="Times New Roman" w:hAnsi="Times New Roman" w:cs="Times New Roman"/>
          <w:color w:val="000000"/>
        </w:rPr>
        <w:t>.”</w:t>
      </w:r>
      <w:r w:rsidR="0084040A">
        <w:rPr>
          <w:rStyle w:val="FootnoteReference"/>
          <w:rFonts w:ascii="Times New Roman" w:hAnsi="Times New Roman" w:cs="Times New Roman"/>
          <w:color w:val="000000"/>
        </w:rPr>
        <w:footnoteReference w:id="12"/>
      </w:r>
      <w:r w:rsidR="004F7E23">
        <w:rPr>
          <w:rFonts w:ascii="Times New Roman" w:hAnsi="Times New Roman" w:cs="Times New Roman"/>
          <w:color w:val="000000"/>
        </w:rPr>
        <w:t xml:space="preserve"> D</w:t>
      </w:r>
      <w:r w:rsidR="003C52D2">
        <w:rPr>
          <w:rFonts w:ascii="Times New Roman" w:hAnsi="Times New Roman" w:cs="Times New Roman"/>
          <w:color w:val="000000"/>
        </w:rPr>
        <w:t xml:space="preserve">esignated </w:t>
      </w:r>
      <w:r w:rsidR="00492F24">
        <w:rPr>
          <w:rFonts w:ascii="Times New Roman" w:hAnsi="Times New Roman" w:cs="Times New Roman"/>
          <w:color w:val="000000"/>
        </w:rPr>
        <w:t>FMUs</w:t>
      </w:r>
      <w:r w:rsidR="003C52D2">
        <w:rPr>
          <w:rFonts w:ascii="Times New Roman" w:hAnsi="Times New Roman" w:cs="Times New Roman"/>
          <w:color w:val="000000"/>
        </w:rPr>
        <w:t xml:space="preserve"> are</w:t>
      </w:r>
      <w:r w:rsidR="004644C3">
        <w:rPr>
          <w:rFonts w:ascii="Times New Roman" w:hAnsi="Times New Roman" w:cs="Times New Roman"/>
          <w:color w:val="000000"/>
        </w:rPr>
        <w:t xml:space="preserve"> </w:t>
      </w:r>
      <w:r w:rsidR="00492F24">
        <w:rPr>
          <w:rFonts w:ascii="Times New Roman" w:hAnsi="Times New Roman" w:cs="Times New Roman"/>
          <w:color w:val="000000"/>
        </w:rPr>
        <w:t xml:space="preserve">to be </w:t>
      </w:r>
      <w:r w:rsidR="003F45A9">
        <w:rPr>
          <w:rFonts w:ascii="Times New Roman" w:hAnsi="Times New Roman" w:cs="Times New Roman"/>
          <w:color w:val="000000"/>
        </w:rPr>
        <w:t xml:space="preserve">subject to </w:t>
      </w:r>
      <w:r w:rsidR="00EA41AC">
        <w:rPr>
          <w:rFonts w:ascii="Times New Roman" w:hAnsi="Times New Roman" w:cs="Times New Roman"/>
          <w:color w:val="000000"/>
        </w:rPr>
        <w:t>Fed</w:t>
      </w:r>
      <w:r w:rsidR="00C66051">
        <w:rPr>
          <w:rFonts w:ascii="Times New Roman" w:hAnsi="Times New Roman" w:cs="Times New Roman"/>
          <w:color w:val="000000"/>
        </w:rPr>
        <w:t xml:space="preserve"> </w:t>
      </w:r>
      <w:r w:rsidR="00EA41AC">
        <w:rPr>
          <w:rFonts w:ascii="Times New Roman" w:hAnsi="Times New Roman" w:cs="Times New Roman"/>
          <w:color w:val="000000"/>
        </w:rPr>
        <w:t>regulation</w:t>
      </w:r>
      <w:r w:rsidR="00C66051">
        <w:rPr>
          <w:rFonts w:ascii="Times New Roman" w:hAnsi="Times New Roman" w:cs="Times New Roman"/>
          <w:color w:val="000000"/>
        </w:rPr>
        <w:t xml:space="preserve">, or in certain cases, </w:t>
      </w:r>
      <w:r w:rsidR="00091B72">
        <w:rPr>
          <w:rFonts w:ascii="Times New Roman" w:hAnsi="Times New Roman" w:cs="Times New Roman"/>
          <w:color w:val="000000"/>
        </w:rPr>
        <w:t xml:space="preserve">heightened </w:t>
      </w:r>
      <w:r w:rsidR="00C66051">
        <w:rPr>
          <w:rFonts w:ascii="Times New Roman" w:hAnsi="Times New Roman" w:cs="Times New Roman"/>
          <w:color w:val="000000"/>
        </w:rPr>
        <w:t>SEC</w:t>
      </w:r>
      <w:r w:rsidR="00912A41">
        <w:rPr>
          <w:rFonts w:ascii="Times New Roman" w:hAnsi="Times New Roman" w:cs="Times New Roman"/>
          <w:color w:val="000000"/>
        </w:rPr>
        <w:t xml:space="preserve"> and/or CFTC</w:t>
      </w:r>
      <w:r w:rsidR="00C66051">
        <w:rPr>
          <w:rFonts w:ascii="Times New Roman" w:hAnsi="Times New Roman" w:cs="Times New Roman"/>
          <w:color w:val="000000"/>
        </w:rPr>
        <w:t xml:space="preserve"> regulation </w:t>
      </w:r>
      <w:r w:rsidR="00912A41">
        <w:rPr>
          <w:rFonts w:ascii="Times New Roman" w:hAnsi="Times New Roman" w:cs="Times New Roman"/>
          <w:color w:val="000000"/>
        </w:rPr>
        <w:t xml:space="preserve">developed </w:t>
      </w:r>
      <w:r w:rsidR="00C66051">
        <w:rPr>
          <w:rFonts w:ascii="Times New Roman" w:hAnsi="Times New Roman" w:cs="Times New Roman"/>
          <w:color w:val="000000"/>
        </w:rPr>
        <w:t xml:space="preserve">in consultation with </w:t>
      </w:r>
      <w:r w:rsidR="00790E5A">
        <w:rPr>
          <w:rFonts w:ascii="Times New Roman" w:hAnsi="Times New Roman" w:cs="Times New Roman"/>
          <w:color w:val="000000"/>
        </w:rPr>
        <w:t xml:space="preserve">FSOC and the </w:t>
      </w:r>
      <w:r w:rsidR="00C66051">
        <w:rPr>
          <w:rFonts w:ascii="Times New Roman" w:hAnsi="Times New Roman" w:cs="Times New Roman"/>
          <w:color w:val="000000"/>
        </w:rPr>
        <w:t>Fed.</w:t>
      </w:r>
      <w:r w:rsidR="00912A41">
        <w:rPr>
          <w:rStyle w:val="FootnoteReference"/>
          <w:rFonts w:ascii="Times New Roman" w:hAnsi="Times New Roman" w:cs="Times New Roman"/>
          <w:color w:val="000000"/>
        </w:rPr>
        <w:footnoteReference w:id="13"/>
      </w:r>
      <w:r w:rsidR="00091B72">
        <w:rPr>
          <w:rFonts w:ascii="Times New Roman" w:hAnsi="Times New Roman" w:cs="Times New Roman"/>
          <w:color w:val="000000"/>
        </w:rPr>
        <w:t xml:space="preserve"> </w:t>
      </w:r>
    </w:p>
    <w:p w14:paraId="2E97574C" w14:textId="77777777" w:rsidR="006D03BB" w:rsidRDefault="006D03BB" w:rsidP="004F7E23">
      <w:pPr>
        <w:pStyle w:val="NormalWeb"/>
        <w:rPr>
          <w:rFonts w:ascii="Times New Roman" w:hAnsi="Times New Roman" w:cs="Times New Roman"/>
          <w:color w:val="000000"/>
        </w:rPr>
      </w:pPr>
    </w:p>
    <w:p w14:paraId="380C20FA" w14:textId="64681562" w:rsidR="00DC323C" w:rsidRDefault="00B33E3C" w:rsidP="004F7E23">
      <w:pPr>
        <w:pStyle w:val="NormalWeb"/>
        <w:rPr>
          <w:rFonts w:ascii="Times New Roman" w:hAnsi="Times New Roman" w:cs="Times New Roman"/>
          <w:color w:val="000000"/>
        </w:rPr>
      </w:pPr>
      <w:r>
        <w:rPr>
          <w:rFonts w:ascii="Times New Roman" w:hAnsi="Times New Roman" w:cs="Times New Roman"/>
          <w:color w:val="000000"/>
        </w:rPr>
        <w:t xml:space="preserve">Section 804 also allows FSOC, </w:t>
      </w:r>
      <w:r w:rsidR="00A764AE">
        <w:rPr>
          <w:rFonts w:ascii="Times New Roman" w:hAnsi="Times New Roman" w:cs="Times New Roman"/>
          <w:color w:val="000000"/>
        </w:rPr>
        <w:t xml:space="preserve">by a two-thirds vote, </w:t>
      </w:r>
      <w:r w:rsidR="008F30C0">
        <w:rPr>
          <w:rFonts w:ascii="Times New Roman" w:hAnsi="Times New Roman" w:cs="Times New Roman"/>
          <w:color w:val="000000"/>
        </w:rPr>
        <w:t xml:space="preserve">to </w:t>
      </w:r>
      <w:r w:rsidR="00A764AE">
        <w:rPr>
          <w:rFonts w:ascii="Times New Roman" w:hAnsi="Times New Roman" w:cs="Times New Roman"/>
          <w:color w:val="000000"/>
        </w:rPr>
        <w:t>designate a “payment, clearing</w:t>
      </w:r>
      <w:r w:rsidR="00CC725A">
        <w:rPr>
          <w:rFonts w:ascii="Times New Roman" w:hAnsi="Times New Roman" w:cs="Times New Roman"/>
          <w:color w:val="000000"/>
        </w:rPr>
        <w:t>,</w:t>
      </w:r>
      <w:r w:rsidR="00A764AE">
        <w:rPr>
          <w:rFonts w:ascii="Times New Roman" w:hAnsi="Times New Roman" w:cs="Times New Roman"/>
          <w:color w:val="000000"/>
        </w:rPr>
        <w:t xml:space="preserve"> or settlement activity” (“PCS Activity”)</w:t>
      </w:r>
      <w:r w:rsidR="00E22B85">
        <w:rPr>
          <w:rFonts w:ascii="Times New Roman" w:hAnsi="Times New Roman" w:cs="Times New Roman"/>
          <w:color w:val="000000"/>
        </w:rPr>
        <w:t xml:space="preserve"> as systemically important or likely to become systemically important, and thus subject to either Fed regulation or SEC and/or CFTC regulation developed in consultation with FSOC and the Fed.</w:t>
      </w:r>
      <w:r w:rsidR="002C4454">
        <w:rPr>
          <w:rStyle w:val="FootnoteReference"/>
          <w:rFonts w:ascii="Times New Roman" w:hAnsi="Times New Roman" w:cs="Times New Roman"/>
          <w:color w:val="000000"/>
        </w:rPr>
        <w:footnoteReference w:id="14"/>
      </w:r>
      <w:r w:rsidR="007D3F6A">
        <w:rPr>
          <w:rFonts w:ascii="Times New Roman" w:hAnsi="Times New Roman" w:cs="Times New Roman"/>
          <w:color w:val="000000"/>
        </w:rPr>
        <w:t xml:space="preserve"> </w:t>
      </w:r>
      <w:r w:rsidR="00E4355F">
        <w:rPr>
          <w:rFonts w:ascii="Times New Roman" w:hAnsi="Times New Roman" w:cs="Times New Roman"/>
          <w:color w:val="000000"/>
        </w:rPr>
        <w:t xml:space="preserve">Upon designation, the Fed </w:t>
      </w:r>
      <w:r w:rsidR="00E25F00">
        <w:rPr>
          <w:rFonts w:ascii="Times New Roman" w:hAnsi="Times New Roman" w:cs="Times New Roman"/>
          <w:color w:val="000000"/>
        </w:rPr>
        <w:t>shall</w:t>
      </w:r>
      <w:r w:rsidR="00E4355F">
        <w:rPr>
          <w:rFonts w:ascii="Times New Roman" w:hAnsi="Times New Roman" w:cs="Times New Roman"/>
          <w:color w:val="000000"/>
        </w:rPr>
        <w:t xml:space="preserve"> prescribe regulations </w:t>
      </w:r>
      <w:r w:rsidR="00E25F00">
        <w:rPr>
          <w:rFonts w:ascii="Times New Roman" w:hAnsi="Times New Roman" w:cs="Times New Roman"/>
          <w:color w:val="000000"/>
        </w:rPr>
        <w:t xml:space="preserve">governing the conduct of PCS </w:t>
      </w:r>
      <w:r w:rsidR="001A79D8">
        <w:rPr>
          <w:rFonts w:ascii="Times New Roman" w:hAnsi="Times New Roman" w:cs="Times New Roman"/>
          <w:color w:val="000000"/>
        </w:rPr>
        <w:t>A</w:t>
      </w:r>
      <w:r w:rsidR="00E25F00">
        <w:rPr>
          <w:rFonts w:ascii="Times New Roman" w:hAnsi="Times New Roman" w:cs="Times New Roman"/>
          <w:color w:val="000000"/>
        </w:rPr>
        <w:t>ctivities by financial institutions</w:t>
      </w:r>
      <w:r w:rsidR="00F1127A">
        <w:rPr>
          <w:rFonts w:ascii="Times New Roman" w:hAnsi="Times New Roman" w:cs="Times New Roman"/>
          <w:color w:val="000000"/>
        </w:rPr>
        <w:t>, unless</w:t>
      </w:r>
      <w:r w:rsidR="001024B1">
        <w:rPr>
          <w:rFonts w:ascii="Times New Roman" w:hAnsi="Times New Roman" w:cs="Times New Roman"/>
          <w:color w:val="000000"/>
        </w:rPr>
        <w:t xml:space="preserve"> the CFTC or SEC is the </w:t>
      </w:r>
      <w:r w:rsidR="00F1127A">
        <w:rPr>
          <w:rFonts w:ascii="Times New Roman" w:hAnsi="Times New Roman" w:cs="Times New Roman"/>
          <w:color w:val="000000"/>
        </w:rPr>
        <w:t>supervisory authority for such financial institutions, in which case the appropriate supervisory authority would prescribe regulations in consultation with the Fed and FSOC.</w:t>
      </w:r>
      <w:r w:rsidR="009E6DC6">
        <w:rPr>
          <w:rStyle w:val="FootnoteReference"/>
          <w:rFonts w:ascii="Times New Roman" w:hAnsi="Times New Roman" w:cs="Times New Roman"/>
          <w:color w:val="000000"/>
        </w:rPr>
        <w:footnoteReference w:id="15"/>
      </w:r>
      <w:r w:rsidR="00F1127A">
        <w:rPr>
          <w:rFonts w:ascii="Times New Roman" w:hAnsi="Times New Roman" w:cs="Times New Roman"/>
          <w:color w:val="000000"/>
        </w:rPr>
        <w:t xml:space="preserve"> If the Fed ultimately determined that that these regulations were insufficient, </w:t>
      </w:r>
      <w:r w:rsidR="00DC323C">
        <w:rPr>
          <w:rFonts w:ascii="Times New Roman" w:hAnsi="Times New Roman" w:cs="Times New Roman"/>
          <w:color w:val="000000"/>
        </w:rPr>
        <w:t>there is a statutory pathway whereby it could gain authority to prescribe superseding regulations by a two-thirds FSOC vote.</w:t>
      </w:r>
      <w:r w:rsidR="00DC323C">
        <w:rPr>
          <w:rStyle w:val="FootnoteReference"/>
          <w:rFonts w:ascii="Times New Roman" w:hAnsi="Times New Roman" w:cs="Times New Roman"/>
          <w:color w:val="000000"/>
        </w:rPr>
        <w:footnoteReference w:id="16"/>
      </w:r>
    </w:p>
    <w:p w14:paraId="48FC7A5E" w14:textId="77777777" w:rsidR="00DC323C" w:rsidRDefault="00DC323C" w:rsidP="004F7E23">
      <w:pPr>
        <w:pStyle w:val="NormalWeb"/>
        <w:rPr>
          <w:rFonts w:ascii="Times New Roman" w:hAnsi="Times New Roman" w:cs="Times New Roman"/>
          <w:color w:val="000000"/>
        </w:rPr>
      </w:pPr>
    </w:p>
    <w:p w14:paraId="14F5718C" w14:textId="77777777" w:rsidR="00F50F41" w:rsidRDefault="009E6DC6" w:rsidP="00B77749">
      <w:pPr>
        <w:pStyle w:val="NormalWeb"/>
        <w:rPr>
          <w:rFonts w:ascii="Times New Roman" w:hAnsi="Times New Roman" w:cs="Times New Roman"/>
          <w:color w:val="000000"/>
        </w:rPr>
      </w:pPr>
      <w:r>
        <w:rPr>
          <w:rFonts w:ascii="Times New Roman" w:hAnsi="Times New Roman" w:cs="Times New Roman"/>
          <w:color w:val="000000"/>
        </w:rPr>
        <w:t xml:space="preserve">When </w:t>
      </w:r>
      <w:r w:rsidR="0091455F">
        <w:rPr>
          <w:rFonts w:ascii="Times New Roman" w:hAnsi="Times New Roman" w:cs="Times New Roman"/>
          <w:color w:val="000000"/>
        </w:rPr>
        <w:t xml:space="preserve">determining whether to designate </w:t>
      </w:r>
      <w:r w:rsidR="00A96D04">
        <w:rPr>
          <w:rFonts w:ascii="Times New Roman" w:hAnsi="Times New Roman" w:cs="Times New Roman"/>
          <w:color w:val="000000"/>
        </w:rPr>
        <w:t xml:space="preserve">a </w:t>
      </w:r>
      <w:r>
        <w:rPr>
          <w:rFonts w:ascii="Times New Roman" w:hAnsi="Times New Roman" w:cs="Times New Roman"/>
          <w:color w:val="000000"/>
        </w:rPr>
        <w:t xml:space="preserve">FMU or PCS Activity </w:t>
      </w:r>
      <w:r w:rsidR="0091455F">
        <w:rPr>
          <w:rFonts w:ascii="Times New Roman" w:hAnsi="Times New Roman" w:cs="Times New Roman"/>
          <w:color w:val="000000"/>
        </w:rPr>
        <w:t xml:space="preserve">as </w:t>
      </w:r>
      <w:r>
        <w:rPr>
          <w:rFonts w:ascii="Times New Roman" w:hAnsi="Times New Roman" w:cs="Times New Roman"/>
          <w:color w:val="000000"/>
        </w:rPr>
        <w:t>“systemically important</w:t>
      </w:r>
      <w:r w:rsidR="00DF519F">
        <w:rPr>
          <w:rFonts w:ascii="Times New Roman" w:hAnsi="Times New Roman" w:cs="Times New Roman"/>
          <w:color w:val="000000"/>
        </w:rPr>
        <w:t>,</w:t>
      </w:r>
      <w:r>
        <w:rPr>
          <w:rFonts w:ascii="Times New Roman" w:hAnsi="Times New Roman" w:cs="Times New Roman"/>
          <w:color w:val="000000"/>
        </w:rPr>
        <w:t>”</w:t>
      </w:r>
      <w:r w:rsidR="00A96D04">
        <w:rPr>
          <w:rFonts w:ascii="Times New Roman" w:hAnsi="Times New Roman" w:cs="Times New Roman"/>
          <w:color w:val="000000"/>
        </w:rPr>
        <w:t xml:space="preserve"> </w:t>
      </w:r>
      <w:r w:rsidR="006034F4">
        <w:rPr>
          <w:rFonts w:ascii="Times New Roman" w:hAnsi="Times New Roman" w:cs="Times New Roman"/>
          <w:color w:val="000000"/>
        </w:rPr>
        <w:t xml:space="preserve">the Dodd-Frank Act requires </w:t>
      </w:r>
      <w:r w:rsidR="00A96D04">
        <w:rPr>
          <w:rFonts w:ascii="Times New Roman" w:hAnsi="Times New Roman" w:cs="Times New Roman"/>
          <w:color w:val="000000"/>
        </w:rPr>
        <w:t xml:space="preserve">FSOC </w:t>
      </w:r>
      <w:r w:rsidR="006034F4">
        <w:rPr>
          <w:rFonts w:ascii="Times New Roman" w:hAnsi="Times New Roman" w:cs="Times New Roman"/>
          <w:color w:val="000000"/>
        </w:rPr>
        <w:t xml:space="preserve">to </w:t>
      </w:r>
      <w:r w:rsidR="00A96D04">
        <w:rPr>
          <w:rFonts w:ascii="Times New Roman" w:hAnsi="Times New Roman" w:cs="Times New Roman"/>
          <w:color w:val="000000"/>
        </w:rPr>
        <w:t>cons</w:t>
      </w:r>
      <w:r w:rsidR="00452E51">
        <w:rPr>
          <w:rFonts w:ascii="Times New Roman" w:hAnsi="Times New Roman" w:cs="Times New Roman"/>
          <w:color w:val="000000"/>
        </w:rPr>
        <w:t>ider</w:t>
      </w:r>
      <w:r w:rsidR="00050033">
        <w:rPr>
          <w:rFonts w:ascii="Times New Roman" w:hAnsi="Times New Roman" w:cs="Times New Roman"/>
          <w:color w:val="000000"/>
        </w:rPr>
        <w:t xml:space="preserve">: </w:t>
      </w:r>
      <w:r w:rsidR="00370AD9">
        <w:rPr>
          <w:rFonts w:ascii="Times New Roman" w:hAnsi="Times New Roman" w:cs="Times New Roman"/>
          <w:color w:val="000000"/>
        </w:rPr>
        <w:t>1</w:t>
      </w:r>
      <w:r w:rsidR="00050033">
        <w:rPr>
          <w:rFonts w:ascii="Times New Roman" w:hAnsi="Times New Roman" w:cs="Times New Roman"/>
          <w:color w:val="000000"/>
        </w:rPr>
        <w:t xml:space="preserve">) the aggregate monetary value of transactions processed by </w:t>
      </w:r>
      <w:r w:rsidR="00F175A7">
        <w:rPr>
          <w:rFonts w:ascii="Times New Roman" w:hAnsi="Times New Roman" w:cs="Times New Roman"/>
          <w:color w:val="000000"/>
        </w:rPr>
        <w:t xml:space="preserve">a FMU or </w:t>
      </w:r>
      <w:r w:rsidR="00370AD9">
        <w:rPr>
          <w:rFonts w:ascii="Times New Roman" w:hAnsi="Times New Roman" w:cs="Times New Roman"/>
          <w:color w:val="000000"/>
        </w:rPr>
        <w:t xml:space="preserve">through a particular PCS </w:t>
      </w:r>
      <w:r w:rsidR="00B77749">
        <w:rPr>
          <w:rFonts w:ascii="Times New Roman" w:hAnsi="Times New Roman" w:cs="Times New Roman"/>
          <w:color w:val="000000"/>
        </w:rPr>
        <w:t>A</w:t>
      </w:r>
      <w:r w:rsidR="00370AD9">
        <w:rPr>
          <w:rFonts w:ascii="Times New Roman" w:hAnsi="Times New Roman" w:cs="Times New Roman"/>
          <w:color w:val="000000"/>
        </w:rPr>
        <w:t>ctivity; 2)</w:t>
      </w:r>
      <w:r w:rsidR="008064A0">
        <w:rPr>
          <w:rFonts w:ascii="Times New Roman" w:hAnsi="Times New Roman" w:cs="Times New Roman"/>
          <w:color w:val="000000"/>
        </w:rPr>
        <w:t xml:space="preserve"> aggregate exposure of a FMU or a financial institution engaged in a PCS </w:t>
      </w:r>
      <w:r w:rsidR="00B77749">
        <w:rPr>
          <w:rFonts w:ascii="Times New Roman" w:hAnsi="Times New Roman" w:cs="Times New Roman"/>
          <w:color w:val="000000"/>
        </w:rPr>
        <w:t>A</w:t>
      </w:r>
      <w:r w:rsidR="008064A0">
        <w:rPr>
          <w:rFonts w:ascii="Times New Roman" w:hAnsi="Times New Roman" w:cs="Times New Roman"/>
          <w:color w:val="000000"/>
        </w:rPr>
        <w:t xml:space="preserve">ctivity to counterparties; 3) </w:t>
      </w:r>
      <w:r w:rsidR="00B77749" w:rsidRPr="00B77749">
        <w:rPr>
          <w:rFonts w:ascii="Times New Roman" w:hAnsi="Times New Roman" w:cs="Times New Roman"/>
          <w:color w:val="000000"/>
        </w:rPr>
        <w:t>relationship, interdependencies, or other interactions</w:t>
      </w:r>
      <w:r w:rsidR="00B77749">
        <w:rPr>
          <w:rFonts w:ascii="Times New Roman" w:hAnsi="Times New Roman" w:cs="Times New Roman"/>
          <w:color w:val="000000"/>
        </w:rPr>
        <w:t xml:space="preserve"> of the FMU or PCS Activity with other FMUs or PCS Activities; 4) the effect that failure or disruption of the FMU or PCS Activity would have on </w:t>
      </w:r>
      <w:r w:rsidR="00DC209C">
        <w:rPr>
          <w:rFonts w:ascii="Times New Roman" w:hAnsi="Times New Roman" w:cs="Times New Roman"/>
          <w:color w:val="000000"/>
        </w:rPr>
        <w:t xml:space="preserve">“critical markets, financial institutions, or the broader financial system”; and 5) any other factors that the FSOC determines </w:t>
      </w:r>
      <w:r w:rsidR="00240A4B">
        <w:rPr>
          <w:rFonts w:ascii="Times New Roman" w:hAnsi="Times New Roman" w:cs="Times New Roman"/>
          <w:color w:val="000000"/>
        </w:rPr>
        <w:t>are</w:t>
      </w:r>
      <w:r w:rsidR="00DC209C">
        <w:rPr>
          <w:rFonts w:ascii="Times New Roman" w:hAnsi="Times New Roman" w:cs="Times New Roman"/>
          <w:color w:val="000000"/>
        </w:rPr>
        <w:t xml:space="preserve"> appropriate.</w:t>
      </w:r>
      <w:r w:rsidR="00993F94">
        <w:rPr>
          <w:rStyle w:val="FootnoteReference"/>
          <w:rFonts w:ascii="Times New Roman" w:hAnsi="Times New Roman" w:cs="Times New Roman"/>
          <w:color w:val="000000"/>
        </w:rPr>
        <w:footnoteReference w:id="17"/>
      </w:r>
      <w:r w:rsidR="00664E2C">
        <w:rPr>
          <w:rFonts w:ascii="Times New Roman" w:hAnsi="Times New Roman" w:cs="Times New Roman"/>
          <w:color w:val="000000"/>
        </w:rPr>
        <w:t xml:space="preserve"> </w:t>
      </w:r>
    </w:p>
    <w:p w14:paraId="71DEBAC9" w14:textId="77777777" w:rsidR="00F50F41" w:rsidRDefault="00F50F41" w:rsidP="00B77749">
      <w:pPr>
        <w:pStyle w:val="NormalWeb"/>
        <w:rPr>
          <w:rFonts w:ascii="Times New Roman" w:hAnsi="Times New Roman" w:cs="Times New Roman"/>
          <w:color w:val="000000"/>
        </w:rPr>
      </w:pPr>
    </w:p>
    <w:p w14:paraId="1F5D9FC3" w14:textId="77777777" w:rsidR="006F586C" w:rsidRDefault="00664E2C" w:rsidP="00B77749">
      <w:pPr>
        <w:pStyle w:val="NormalWeb"/>
        <w:rPr>
          <w:rFonts w:ascii="Times New Roman" w:hAnsi="Times New Roman" w:cs="Times New Roman"/>
          <w:color w:val="000000"/>
        </w:rPr>
      </w:pPr>
      <w:r>
        <w:rPr>
          <w:rFonts w:ascii="Times New Roman" w:hAnsi="Times New Roman" w:cs="Times New Roman"/>
          <w:color w:val="000000"/>
        </w:rPr>
        <w:t>Unlike for Section 113 designations, i</w:t>
      </w:r>
      <w:r w:rsidR="003725F8">
        <w:rPr>
          <w:rFonts w:ascii="Times New Roman" w:hAnsi="Times New Roman" w:cs="Times New Roman"/>
          <w:color w:val="000000"/>
        </w:rPr>
        <w:t xml:space="preserve">n advance of determining that a FMU or PCS Activity is “systemically important,” FSOC is required to </w:t>
      </w:r>
      <w:r w:rsidR="006E1A89">
        <w:rPr>
          <w:rFonts w:ascii="Times New Roman" w:hAnsi="Times New Roman" w:cs="Times New Roman"/>
          <w:color w:val="000000"/>
        </w:rPr>
        <w:t xml:space="preserve">provide </w:t>
      </w:r>
      <w:r w:rsidR="000258F2">
        <w:rPr>
          <w:rFonts w:ascii="Times New Roman" w:hAnsi="Times New Roman" w:cs="Times New Roman"/>
          <w:color w:val="000000"/>
        </w:rPr>
        <w:t xml:space="preserve">a FMU </w:t>
      </w:r>
      <w:r w:rsidR="00531BD2">
        <w:rPr>
          <w:rFonts w:ascii="Times New Roman" w:hAnsi="Times New Roman" w:cs="Times New Roman"/>
          <w:color w:val="000000"/>
        </w:rPr>
        <w:t xml:space="preserve">set for designation </w:t>
      </w:r>
      <w:r w:rsidR="000258F2">
        <w:rPr>
          <w:rFonts w:ascii="Times New Roman" w:hAnsi="Times New Roman" w:cs="Times New Roman"/>
          <w:color w:val="000000"/>
        </w:rPr>
        <w:t xml:space="preserve">or financial institutions </w:t>
      </w:r>
      <w:r w:rsidR="006C5C7D">
        <w:rPr>
          <w:rFonts w:ascii="Times New Roman" w:hAnsi="Times New Roman" w:cs="Times New Roman"/>
          <w:color w:val="000000"/>
        </w:rPr>
        <w:t xml:space="preserve">engaged in </w:t>
      </w:r>
      <w:r w:rsidR="00FF6F15">
        <w:rPr>
          <w:rFonts w:ascii="Times New Roman" w:hAnsi="Times New Roman" w:cs="Times New Roman"/>
          <w:color w:val="000000"/>
        </w:rPr>
        <w:t xml:space="preserve">a </w:t>
      </w:r>
      <w:r w:rsidR="006C5C7D">
        <w:rPr>
          <w:rFonts w:ascii="Times New Roman" w:hAnsi="Times New Roman" w:cs="Times New Roman"/>
          <w:color w:val="000000"/>
        </w:rPr>
        <w:t>PCS Activity</w:t>
      </w:r>
      <w:r w:rsidR="00531BD2">
        <w:rPr>
          <w:rFonts w:ascii="Times New Roman" w:hAnsi="Times New Roman" w:cs="Times New Roman"/>
          <w:color w:val="000000"/>
        </w:rPr>
        <w:t xml:space="preserve"> set for designation</w:t>
      </w:r>
      <w:r w:rsidR="006C5C7D">
        <w:rPr>
          <w:rFonts w:ascii="Times New Roman" w:hAnsi="Times New Roman" w:cs="Times New Roman"/>
          <w:color w:val="000000"/>
        </w:rPr>
        <w:t xml:space="preserve"> with advance notice by publishing a notice in the Federal Register.</w:t>
      </w:r>
      <w:r w:rsidR="00993F94">
        <w:rPr>
          <w:rStyle w:val="FootnoteReference"/>
          <w:rFonts w:ascii="Times New Roman" w:hAnsi="Times New Roman" w:cs="Times New Roman"/>
          <w:color w:val="000000"/>
        </w:rPr>
        <w:footnoteReference w:id="18"/>
      </w:r>
      <w:r w:rsidR="006B1701">
        <w:rPr>
          <w:rFonts w:ascii="Times New Roman" w:hAnsi="Times New Roman" w:cs="Times New Roman"/>
          <w:color w:val="000000"/>
        </w:rPr>
        <w:t xml:space="preserve"> </w:t>
      </w:r>
      <w:r w:rsidR="00134D10">
        <w:rPr>
          <w:rFonts w:ascii="Times New Roman" w:hAnsi="Times New Roman" w:cs="Times New Roman"/>
          <w:color w:val="000000"/>
        </w:rPr>
        <w:t>The FMU or a</w:t>
      </w:r>
      <w:r w:rsidR="006B1701">
        <w:rPr>
          <w:rFonts w:ascii="Times New Roman" w:hAnsi="Times New Roman" w:cs="Times New Roman"/>
          <w:color w:val="000000"/>
        </w:rPr>
        <w:t xml:space="preserve"> financial firm engaged in </w:t>
      </w:r>
      <w:r w:rsidR="00134D10">
        <w:rPr>
          <w:rFonts w:ascii="Times New Roman" w:hAnsi="Times New Roman" w:cs="Times New Roman"/>
          <w:color w:val="000000"/>
        </w:rPr>
        <w:t xml:space="preserve">such a </w:t>
      </w:r>
      <w:r w:rsidR="006B1701">
        <w:rPr>
          <w:rFonts w:ascii="Times New Roman" w:hAnsi="Times New Roman" w:cs="Times New Roman"/>
          <w:color w:val="000000"/>
        </w:rPr>
        <w:t xml:space="preserve">PCS Activity can request a hearing </w:t>
      </w:r>
      <w:r w:rsidR="006B1728">
        <w:rPr>
          <w:rFonts w:ascii="Times New Roman" w:hAnsi="Times New Roman" w:cs="Times New Roman"/>
          <w:color w:val="000000"/>
        </w:rPr>
        <w:t>to d</w:t>
      </w:r>
      <w:r w:rsidR="000E45D6">
        <w:rPr>
          <w:rFonts w:ascii="Times New Roman" w:hAnsi="Times New Roman" w:cs="Times New Roman"/>
          <w:color w:val="000000"/>
        </w:rPr>
        <w:t xml:space="preserve">emonstrate that a proposed designation is not supported by substantial evidence, </w:t>
      </w:r>
      <w:r w:rsidR="0030642E">
        <w:rPr>
          <w:rFonts w:ascii="Times New Roman" w:hAnsi="Times New Roman" w:cs="Times New Roman"/>
          <w:color w:val="000000"/>
        </w:rPr>
        <w:t>although FSOC can determine by a two-thirds vote to waive or modify this process if it determines that</w:t>
      </w:r>
      <w:r w:rsidR="00BF6185">
        <w:rPr>
          <w:rFonts w:ascii="Times New Roman" w:hAnsi="Times New Roman" w:cs="Times New Roman"/>
          <w:color w:val="000000"/>
        </w:rPr>
        <w:t xml:space="preserve"> a “waiver or modification” is necessary to “prevent or mitigate an immediate threat to the financial system.”</w:t>
      </w:r>
      <w:r w:rsidR="00BF54FF">
        <w:rPr>
          <w:rStyle w:val="FootnoteReference"/>
          <w:rFonts w:ascii="Times New Roman" w:hAnsi="Times New Roman" w:cs="Times New Roman"/>
          <w:color w:val="000000"/>
        </w:rPr>
        <w:footnoteReference w:id="19"/>
      </w:r>
      <w:r w:rsidR="00BD058F">
        <w:rPr>
          <w:rFonts w:ascii="Times New Roman" w:hAnsi="Times New Roman" w:cs="Times New Roman"/>
          <w:color w:val="000000"/>
        </w:rPr>
        <w:t xml:space="preserve"> </w:t>
      </w:r>
    </w:p>
    <w:p w14:paraId="130F7ECA" w14:textId="77777777" w:rsidR="006F586C" w:rsidRDefault="006F586C" w:rsidP="00B77749">
      <w:pPr>
        <w:pStyle w:val="NormalWeb"/>
        <w:rPr>
          <w:rFonts w:ascii="Times New Roman" w:hAnsi="Times New Roman" w:cs="Times New Roman"/>
          <w:color w:val="000000"/>
        </w:rPr>
      </w:pPr>
    </w:p>
    <w:p w14:paraId="49394053" w14:textId="65C6B4B5" w:rsidR="00B77749" w:rsidRPr="00B77749" w:rsidRDefault="00BD058F" w:rsidP="00B77749">
      <w:pPr>
        <w:pStyle w:val="NormalWeb"/>
        <w:rPr>
          <w:rFonts w:ascii="Times New Roman" w:hAnsi="Times New Roman" w:cs="Times New Roman"/>
          <w:color w:val="000000"/>
        </w:rPr>
      </w:pPr>
      <w:r>
        <w:rPr>
          <w:rFonts w:ascii="Times New Roman" w:hAnsi="Times New Roman" w:cs="Times New Roman"/>
          <w:color w:val="000000"/>
        </w:rPr>
        <w:t>Once a FMU or PCS Activity is designated as “systemically important,” it remains so until a two-thirds vote to rescind such designation.</w:t>
      </w:r>
      <w:r>
        <w:rPr>
          <w:rStyle w:val="FootnoteReference"/>
          <w:rFonts w:ascii="Times New Roman" w:hAnsi="Times New Roman" w:cs="Times New Roman"/>
          <w:color w:val="000000"/>
        </w:rPr>
        <w:footnoteReference w:id="20"/>
      </w:r>
    </w:p>
    <w:p w14:paraId="0A300151" w14:textId="7C8EB4D5" w:rsidR="00F50F41" w:rsidRDefault="00F50F41" w:rsidP="005D47E0">
      <w:pPr>
        <w:spacing w:after="0"/>
        <w:rPr>
          <w:rFonts w:ascii="Times New Roman" w:hAnsi="Times New Roman" w:cs="Times New Roman"/>
          <w:color w:val="000000"/>
        </w:rPr>
      </w:pPr>
      <w:r>
        <w:rPr>
          <w:rFonts w:ascii="Times New Roman" w:hAnsi="Times New Roman" w:cs="Times New Roman"/>
          <w:color w:val="000000"/>
        </w:rPr>
        <w:br w:type="page"/>
      </w:r>
    </w:p>
    <w:p w14:paraId="4DCF76F3" w14:textId="599EA259" w:rsidR="00EB534E" w:rsidRPr="000A6F15" w:rsidRDefault="00BB0FBB" w:rsidP="005D47E0">
      <w:pPr>
        <w:spacing w:after="0"/>
        <w:rPr>
          <w:rFonts w:ascii="Times New Roman" w:hAnsi="Times New Roman" w:cs="Times New Roman"/>
          <w:b/>
          <w:bCs/>
          <w:i/>
          <w:iCs/>
          <w:color w:val="2F5496" w:themeColor="accent1" w:themeShade="BF"/>
          <w:u w:val="single"/>
        </w:rPr>
      </w:pPr>
      <w:r w:rsidRPr="000A6F15">
        <w:rPr>
          <w:rFonts w:ascii="Times New Roman" w:hAnsi="Times New Roman" w:cs="Times New Roman"/>
          <w:b/>
          <w:bCs/>
          <w:color w:val="2F5496" w:themeColor="accent1" w:themeShade="BF"/>
        </w:rPr>
        <w:lastRenderedPageBreak/>
        <w:t xml:space="preserve">II) </w:t>
      </w:r>
      <w:r w:rsidR="00C2439D" w:rsidRPr="000A6F15">
        <w:rPr>
          <w:rFonts w:ascii="Times New Roman" w:hAnsi="Times New Roman" w:cs="Times New Roman"/>
          <w:b/>
          <w:bCs/>
          <w:i/>
          <w:iCs/>
          <w:color w:val="2F5496" w:themeColor="accent1" w:themeShade="BF"/>
          <w:u w:val="single"/>
        </w:rPr>
        <w:t xml:space="preserve">Past is Prologue: </w:t>
      </w:r>
      <w:r w:rsidR="0012059E" w:rsidRPr="000A6F15">
        <w:rPr>
          <w:rFonts w:ascii="Times New Roman" w:hAnsi="Times New Roman" w:cs="Times New Roman"/>
          <w:b/>
          <w:bCs/>
          <w:i/>
          <w:iCs/>
          <w:color w:val="2F5496" w:themeColor="accent1" w:themeShade="BF"/>
          <w:u w:val="single"/>
        </w:rPr>
        <w:t>An Overview of Past FSOC</w:t>
      </w:r>
      <w:r w:rsidR="00D55E4E" w:rsidRPr="000A6F15">
        <w:rPr>
          <w:rFonts w:ascii="Times New Roman" w:hAnsi="Times New Roman" w:cs="Times New Roman"/>
          <w:b/>
          <w:bCs/>
          <w:i/>
          <w:iCs/>
          <w:color w:val="2F5496" w:themeColor="accent1" w:themeShade="BF"/>
          <w:u w:val="single"/>
        </w:rPr>
        <w:t xml:space="preserve"> </w:t>
      </w:r>
      <w:r w:rsidR="0012059E" w:rsidRPr="000A6F15">
        <w:rPr>
          <w:rFonts w:ascii="Times New Roman" w:hAnsi="Times New Roman" w:cs="Times New Roman"/>
          <w:b/>
          <w:bCs/>
          <w:i/>
          <w:iCs/>
          <w:color w:val="2F5496" w:themeColor="accent1" w:themeShade="BF"/>
          <w:u w:val="single"/>
        </w:rPr>
        <w:t>Designations</w:t>
      </w:r>
    </w:p>
    <w:p w14:paraId="1547407B" w14:textId="77777777" w:rsidR="00D55E4E" w:rsidRDefault="00D55E4E" w:rsidP="00C71A8A">
      <w:pPr>
        <w:pStyle w:val="NormalWeb"/>
        <w:rPr>
          <w:rFonts w:ascii="Times New Roman" w:hAnsi="Times New Roman" w:cs="Times New Roman"/>
          <w:color w:val="000000"/>
        </w:rPr>
      </w:pPr>
    </w:p>
    <w:p w14:paraId="6F28E979" w14:textId="372B9E97" w:rsidR="00231ED3" w:rsidRDefault="0057749A" w:rsidP="00C71A8A">
      <w:pPr>
        <w:pStyle w:val="NormalWeb"/>
        <w:rPr>
          <w:rFonts w:ascii="Times New Roman" w:hAnsi="Times New Roman" w:cs="Times New Roman"/>
          <w:color w:val="000000"/>
        </w:rPr>
      </w:pPr>
      <w:r>
        <w:rPr>
          <w:rFonts w:ascii="Times New Roman" w:hAnsi="Times New Roman" w:cs="Times New Roman"/>
          <w:color w:val="000000"/>
        </w:rPr>
        <w:t xml:space="preserve">FSOC’s Section 804 activity-based designation authority has never been used. </w:t>
      </w:r>
      <w:r w:rsidR="00762C7A">
        <w:rPr>
          <w:rFonts w:ascii="Times New Roman" w:hAnsi="Times New Roman" w:cs="Times New Roman"/>
          <w:color w:val="000000"/>
        </w:rPr>
        <w:t>On the other hand</w:t>
      </w:r>
      <w:r>
        <w:rPr>
          <w:rFonts w:ascii="Times New Roman" w:hAnsi="Times New Roman" w:cs="Times New Roman"/>
          <w:color w:val="000000"/>
        </w:rPr>
        <w:t xml:space="preserve">, eight FMUs </w:t>
      </w:r>
      <w:r w:rsidR="00762C7A">
        <w:rPr>
          <w:rFonts w:ascii="Times New Roman" w:hAnsi="Times New Roman" w:cs="Times New Roman"/>
          <w:color w:val="000000"/>
        </w:rPr>
        <w:t>were</w:t>
      </w:r>
      <w:r w:rsidR="00621984">
        <w:rPr>
          <w:rFonts w:ascii="Times New Roman" w:hAnsi="Times New Roman" w:cs="Times New Roman"/>
          <w:color w:val="000000"/>
        </w:rPr>
        <w:t xml:space="preserve"> unanimously</w:t>
      </w:r>
      <w:r w:rsidR="00762C7A">
        <w:rPr>
          <w:rFonts w:ascii="Times New Roman" w:hAnsi="Times New Roman" w:cs="Times New Roman"/>
          <w:color w:val="000000"/>
        </w:rPr>
        <w:t xml:space="preserve"> </w:t>
      </w:r>
      <w:r>
        <w:rPr>
          <w:rFonts w:ascii="Times New Roman" w:hAnsi="Times New Roman" w:cs="Times New Roman"/>
          <w:color w:val="000000"/>
        </w:rPr>
        <w:t>designated</w:t>
      </w:r>
      <w:r w:rsidR="001A6819">
        <w:rPr>
          <w:rFonts w:ascii="Times New Roman" w:hAnsi="Times New Roman" w:cs="Times New Roman"/>
          <w:color w:val="000000"/>
        </w:rPr>
        <w:t xml:space="preserve"> </w:t>
      </w:r>
      <w:r w:rsidR="00304735">
        <w:rPr>
          <w:rFonts w:ascii="Times New Roman" w:hAnsi="Times New Roman" w:cs="Times New Roman"/>
          <w:color w:val="000000"/>
        </w:rPr>
        <w:t>under</w:t>
      </w:r>
      <w:r w:rsidR="001A6819">
        <w:rPr>
          <w:rFonts w:ascii="Times New Roman" w:hAnsi="Times New Roman" w:cs="Times New Roman"/>
          <w:color w:val="000000"/>
        </w:rPr>
        <w:t xml:space="preserve"> FSOC’s Section 804 authority</w:t>
      </w:r>
      <w:r>
        <w:rPr>
          <w:rFonts w:ascii="Times New Roman" w:hAnsi="Times New Roman" w:cs="Times New Roman"/>
          <w:color w:val="000000"/>
        </w:rPr>
        <w:t xml:space="preserve"> </w:t>
      </w:r>
      <w:r w:rsidR="009E3E70">
        <w:rPr>
          <w:rFonts w:ascii="Times New Roman" w:hAnsi="Times New Roman" w:cs="Times New Roman"/>
          <w:color w:val="000000"/>
        </w:rPr>
        <w:t xml:space="preserve">in </w:t>
      </w:r>
      <w:r w:rsidR="009226DD">
        <w:rPr>
          <w:rFonts w:ascii="Times New Roman" w:hAnsi="Times New Roman" w:cs="Times New Roman"/>
          <w:color w:val="000000"/>
        </w:rPr>
        <w:t xml:space="preserve">July </w:t>
      </w:r>
      <w:r w:rsidR="009E3E70">
        <w:rPr>
          <w:rFonts w:ascii="Times New Roman" w:hAnsi="Times New Roman" w:cs="Times New Roman"/>
          <w:color w:val="000000"/>
        </w:rPr>
        <w:t>2012</w:t>
      </w:r>
      <w:r w:rsidR="009226DD">
        <w:rPr>
          <w:rFonts w:ascii="Times New Roman" w:hAnsi="Times New Roman" w:cs="Times New Roman"/>
          <w:color w:val="000000"/>
        </w:rPr>
        <w:t>, less than two months after the FSOC proposed designating these entities</w:t>
      </w:r>
      <w:r w:rsidR="004A2663">
        <w:rPr>
          <w:rFonts w:ascii="Times New Roman" w:hAnsi="Times New Roman" w:cs="Times New Roman"/>
          <w:color w:val="000000"/>
        </w:rPr>
        <w:t>.</w:t>
      </w:r>
      <w:r w:rsidR="00214D9C">
        <w:rPr>
          <w:rStyle w:val="FootnoteReference"/>
          <w:rFonts w:ascii="Times New Roman" w:hAnsi="Times New Roman" w:cs="Times New Roman"/>
          <w:color w:val="000000"/>
        </w:rPr>
        <w:footnoteReference w:id="21"/>
      </w:r>
      <w:r w:rsidR="00D94A36">
        <w:rPr>
          <w:rFonts w:ascii="Times New Roman" w:hAnsi="Times New Roman" w:cs="Times New Roman"/>
          <w:color w:val="000000"/>
        </w:rPr>
        <w:t xml:space="preserve"> </w:t>
      </w:r>
      <w:r w:rsidR="004A2663">
        <w:rPr>
          <w:rFonts w:ascii="Times New Roman" w:hAnsi="Times New Roman" w:cs="Times New Roman"/>
          <w:color w:val="000000"/>
        </w:rPr>
        <w:t xml:space="preserve">No hearings </w:t>
      </w:r>
      <w:r w:rsidR="00AD34E0">
        <w:rPr>
          <w:rFonts w:ascii="Times New Roman" w:hAnsi="Times New Roman" w:cs="Times New Roman"/>
          <w:color w:val="000000"/>
        </w:rPr>
        <w:t xml:space="preserve">were held, as </w:t>
      </w:r>
      <w:r w:rsidR="00621984">
        <w:rPr>
          <w:rFonts w:ascii="Times New Roman" w:hAnsi="Times New Roman" w:cs="Times New Roman"/>
          <w:color w:val="000000"/>
        </w:rPr>
        <w:t>no designated FMU ever requested a hearing to disagree with the FSOC’s proposed designations or findings of fact.</w:t>
      </w:r>
      <w:r w:rsidR="00EA52C6">
        <w:rPr>
          <w:rStyle w:val="FootnoteReference"/>
          <w:rFonts w:ascii="Times New Roman" w:hAnsi="Times New Roman" w:cs="Times New Roman"/>
          <w:color w:val="000000"/>
        </w:rPr>
        <w:footnoteReference w:id="22"/>
      </w:r>
      <w:r w:rsidR="00691B05">
        <w:rPr>
          <w:rFonts w:ascii="Times New Roman" w:hAnsi="Times New Roman" w:cs="Times New Roman"/>
          <w:color w:val="000000"/>
        </w:rPr>
        <w:t xml:space="preserve"> These designations took place </w:t>
      </w:r>
      <w:r w:rsidR="00D94A36">
        <w:rPr>
          <w:rFonts w:ascii="Times New Roman" w:hAnsi="Times New Roman" w:cs="Times New Roman"/>
          <w:color w:val="000000"/>
        </w:rPr>
        <w:t>less than a year after FSOC finalized a rule outlining the criteria, processes, and procedures for FMU designation</w:t>
      </w:r>
      <w:r w:rsidR="009226DD">
        <w:rPr>
          <w:rFonts w:ascii="Times New Roman" w:hAnsi="Times New Roman" w:cs="Times New Roman"/>
          <w:color w:val="000000"/>
        </w:rPr>
        <w:t>.</w:t>
      </w:r>
      <w:r w:rsidR="00214D9C">
        <w:rPr>
          <w:rStyle w:val="FootnoteReference"/>
          <w:rFonts w:ascii="Times New Roman" w:hAnsi="Times New Roman" w:cs="Times New Roman"/>
          <w:color w:val="000000"/>
        </w:rPr>
        <w:footnoteReference w:id="23"/>
      </w:r>
      <w:r w:rsidR="0063402E">
        <w:rPr>
          <w:rFonts w:ascii="Times New Roman" w:hAnsi="Times New Roman" w:cs="Times New Roman"/>
          <w:color w:val="000000"/>
        </w:rPr>
        <w:t xml:space="preserve"> This rule is still in </w:t>
      </w:r>
      <w:r w:rsidR="00FE6719">
        <w:rPr>
          <w:rFonts w:ascii="Times New Roman" w:hAnsi="Times New Roman" w:cs="Times New Roman"/>
          <w:color w:val="000000"/>
        </w:rPr>
        <w:t>effect, as are the eight FMU designations</w:t>
      </w:r>
      <w:r w:rsidR="0063402E">
        <w:rPr>
          <w:rFonts w:ascii="Times New Roman" w:hAnsi="Times New Roman" w:cs="Times New Roman"/>
          <w:color w:val="000000"/>
        </w:rPr>
        <w:t>.</w:t>
      </w:r>
      <w:r w:rsidR="009226DD">
        <w:rPr>
          <w:rFonts w:ascii="Times New Roman" w:hAnsi="Times New Roman" w:cs="Times New Roman"/>
          <w:color w:val="000000"/>
        </w:rPr>
        <w:t xml:space="preserve"> </w:t>
      </w:r>
      <w:r w:rsidR="0015310F">
        <w:rPr>
          <w:rFonts w:ascii="Times New Roman" w:hAnsi="Times New Roman" w:cs="Times New Roman"/>
          <w:color w:val="000000"/>
        </w:rPr>
        <w:t>The Fed is the</w:t>
      </w:r>
      <w:r w:rsidR="00403889">
        <w:rPr>
          <w:rFonts w:ascii="Times New Roman" w:hAnsi="Times New Roman" w:cs="Times New Roman"/>
          <w:color w:val="000000"/>
        </w:rPr>
        <w:t xml:space="preserve"> primary</w:t>
      </w:r>
      <w:r w:rsidR="0015310F">
        <w:rPr>
          <w:rFonts w:ascii="Times New Roman" w:hAnsi="Times New Roman" w:cs="Times New Roman"/>
          <w:color w:val="000000"/>
        </w:rPr>
        <w:t xml:space="preserve"> supervisory agency for </w:t>
      </w:r>
      <w:r w:rsidR="007C0082">
        <w:rPr>
          <w:rFonts w:ascii="Times New Roman" w:hAnsi="Times New Roman" w:cs="Times New Roman"/>
          <w:color w:val="000000"/>
        </w:rPr>
        <w:t xml:space="preserve">two of these FMUs, while the SEC </w:t>
      </w:r>
      <w:r w:rsidR="00322667">
        <w:rPr>
          <w:rFonts w:ascii="Times New Roman" w:hAnsi="Times New Roman" w:cs="Times New Roman"/>
          <w:color w:val="000000"/>
        </w:rPr>
        <w:t>is the</w:t>
      </w:r>
      <w:r w:rsidR="00403889">
        <w:rPr>
          <w:rFonts w:ascii="Times New Roman" w:hAnsi="Times New Roman" w:cs="Times New Roman"/>
          <w:color w:val="000000"/>
        </w:rPr>
        <w:t xml:space="preserve"> primary</w:t>
      </w:r>
      <w:r w:rsidR="00322667">
        <w:rPr>
          <w:rFonts w:ascii="Times New Roman" w:hAnsi="Times New Roman" w:cs="Times New Roman"/>
          <w:color w:val="000000"/>
        </w:rPr>
        <w:t xml:space="preserve"> supervisory agency for four FMUs </w:t>
      </w:r>
      <w:r w:rsidR="007C0082">
        <w:rPr>
          <w:rFonts w:ascii="Times New Roman" w:hAnsi="Times New Roman" w:cs="Times New Roman"/>
          <w:color w:val="000000"/>
        </w:rPr>
        <w:t xml:space="preserve">and </w:t>
      </w:r>
      <w:r w:rsidR="00322667">
        <w:rPr>
          <w:rFonts w:ascii="Times New Roman" w:hAnsi="Times New Roman" w:cs="Times New Roman"/>
          <w:color w:val="000000"/>
        </w:rPr>
        <w:t xml:space="preserve">the </w:t>
      </w:r>
      <w:r w:rsidR="007C0082">
        <w:rPr>
          <w:rFonts w:ascii="Times New Roman" w:hAnsi="Times New Roman" w:cs="Times New Roman"/>
          <w:color w:val="000000"/>
        </w:rPr>
        <w:t xml:space="preserve">CFTC </w:t>
      </w:r>
      <w:r w:rsidR="009A604A">
        <w:rPr>
          <w:rFonts w:ascii="Times New Roman" w:hAnsi="Times New Roman" w:cs="Times New Roman"/>
          <w:color w:val="000000"/>
        </w:rPr>
        <w:t xml:space="preserve">is the </w:t>
      </w:r>
      <w:r w:rsidR="00403889">
        <w:rPr>
          <w:rFonts w:ascii="Times New Roman" w:hAnsi="Times New Roman" w:cs="Times New Roman"/>
          <w:color w:val="000000"/>
        </w:rPr>
        <w:t xml:space="preserve">primary </w:t>
      </w:r>
      <w:r w:rsidR="009A604A">
        <w:rPr>
          <w:rFonts w:ascii="Times New Roman" w:hAnsi="Times New Roman" w:cs="Times New Roman"/>
          <w:color w:val="000000"/>
        </w:rPr>
        <w:t xml:space="preserve">supervisory agency for two </w:t>
      </w:r>
      <w:r w:rsidR="007C0082">
        <w:rPr>
          <w:rFonts w:ascii="Times New Roman" w:hAnsi="Times New Roman" w:cs="Times New Roman"/>
          <w:color w:val="000000"/>
        </w:rPr>
        <w:t>FMUs.</w:t>
      </w:r>
      <w:r w:rsidR="007C0082">
        <w:rPr>
          <w:rStyle w:val="FootnoteReference"/>
          <w:rFonts w:ascii="Times New Roman" w:hAnsi="Times New Roman" w:cs="Times New Roman"/>
          <w:color w:val="000000"/>
        </w:rPr>
        <w:footnoteReference w:id="24"/>
      </w:r>
      <w:r w:rsidR="007C0082">
        <w:rPr>
          <w:rFonts w:ascii="Times New Roman" w:hAnsi="Times New Roman" w:cs="Times New Roman"/>
          <w:color w:val="000000"/>
        </w:rPr>
        <w:t xml:space="preserve"> </w:t>
      </w:r>
    </w:p>
    <w:p w14:paraId="5FA81848" w14:textId="77777777" w:rsidR="00F50F41" w:rsidRDefault="00F50F41" w:rsidP="00C660AB">
      <w:pPr>
        <w:pStyle w:val="NormalWeb"/>
        <w:tabs>
          <w:tab w:val="left" w:pos="2520"/>
        </w:tabs>
        <w:rPr>
          <w:rFonts w:ascii="Times New Roman" w:hAnsi="Times New Roman" w:cs="Times New Roman"/>
          <w:color w:val="000000"/>
        </w:rPr>
      </w:pPr>
    </w:p>
    <w:p w14:paraId="138C7C89" w14:textId="3FC89417" w:rsidR="00F50F41" w:rsidRDefault="00453913" w:rsidP="00C660AB">
      <w:pPr>
        <w:pStyle w:val="NormalWeb"/>
        <w:tabs>
          <w:tab w:val="left" w:pos="2520"/>
        </w:tabs>
        <w:rPr>
          <w:rFonts w:ascii="Times New Roman" w:hAnsi="Times New Roman" w:cs="Times New Roman"/>
          <w:color w:val="000000"/>
        </w:rPr>
      </w:pPr>
      <w:r>
        <w:rPr>
          <w:rFonts w:ascii="Times New Roman" w:hAnsi="Times New Roman" w:cs="Times New Roman"/>
          <w:color w:val="000000"/>
        </w:rPr>
        <w:t>Past</w:t>
      </w:r>
      <w:r w:rsidR="004B7AC4">
        <w:rPr>
          <w:rFonts w:ascii="Times New Roman" w:hAnsi="Times New Roman" w:cs="Times New Roman"/>
          <w:color w:val="000000"/>
        </w:rPr>
        <w:t xml:space="preserve"> efforts to designate non-bank entities </w:t>
      </w:r>
      <w:r w:rsidR="00752D09">
        <w:rPr>
          <w:rFonts w:ascii="Times New Roman" w:hAnsi="Times New Roman" w:cs="Times New Roman"/>
          <w:color w:val="000000"/>
        </w:rPr>
        <w:t xml:space="preserve">under </w:t>
      </w:r>
      <w:r w:rsidR="004B7AC4">
        <w:rPr>
          <w:rFonts w:ascii="Times New Roman" w:hAnsi="Times New Roman" w:cs="Times New Roman"/>
          <w:color w:val="000000"/>
        </w:rPr>
        <w:t xml:space="preserve">FSOC’s </w:t>
      </w:r>
      <w:r w:rsidR="00752D09">
        <w:rPr>
          <w:rFonts w:ascii="Times New Roman" w:hAnsi="Times New Roman" w:cs="Times New Roman"/>
          <w:color w:val="000000"/>
        </w:rPr>
        <w:t xml:space="preserve">Section 113 </w:t>
      </w:r>
      <w:r w:rsidR="00D3462B">
        <w:rPr>
          <w:rFonts w:ascii="Times New Roman" w:hAnsi="Times New Roman" w:cs="Times New Roman"/>
          <w:color w:val="000000"/>
        </w:rPr>
        <w:t>authority</w:t>
      </w:r>
      <w:r w:rsidR="004B7AC4">
        <w:rPr>
          <w:rFonts w:ascii="Times New Roman" w:hAnsi="Times New Roman" w:cs="Times New Roman"/>
          <w:color w:val="000000"/>
        </w:rPr>
        <w:t xml:space="preserve"> were much more controversial. FSOC </w:t>
      </w:r>
      <w:r w:rsidR="00D87A7C">
        <w:rPr>
          <w:rFonts w:ascii="Times New Roman" w:hAnsi="Times New Roman" w:cs="Times New Roman"/>
          <w:color w:val="000000"/>
        </w:rPr>
        <w:t xml:space="preserve">successfully </w:t>
      </w:r>
      <w:r w:rsidR="004B7AC4">
        <w:rPr>
          <w:rFonts w:ascii="Times New Roman" w:hAnsi="Times New Roman" w:cs="Times New Roman"/>
          <w:color w:val="000000"/>
        </w:rPr>
        <w:t xml:space="preserve">used its </w:t>
      </w:r>
      <w:r w:rsidR="005738EC">
        <w:rPr>
          <w:rFonts w:ascii="Times New Roman" w:hAnsi="Times New Roman" w:cs="Times New Roman"/>
          <w:color w:val="000000"/>
        </w:rPr>
        <w:t>Section 113</w:t>
      </w:r>
      <w:r w:rsidR="00145B75">
        <w:rPr>
          <w:rFonts w:ascii="Times New Roman" w:hAnsi="Times New Roman" w:cs="Times New Roman"/>
          <w:color w:val="000000"/>
        </w:rPr>
        <w:t xml:space="preserve"> authority </w:t>
      </w:r>
      <w:r w:rsidR="00D3462B">
        <w:rPr>
          <w:rFonts w:ascii="Times New Roman" w:hAnsi="Times New Roman" w:cs="Times New Roman"/>
          <w:color w:val="000000"/>
        </w:rPr>
        <w:t>four times during the Obama Administration</w:t>
      </w:r>
      <w:r w:rsidR="00A40159">
        <w:rPr>
          <w:rFonts w:ascii="Times New Roman" w:hAnsi="Times New Roman" w:cs="Times New Roman"/>
          <w:color w:val="000000"/>
        </w:rPr>
        <w:t xml:space="preserve">, but </w:t>
      </w:r>
      <w:r w:rsidR="005B09F0">
        <w:rPr>
          <w:rFonts w:ascii="Times New Roman" w:hAnsi="Times New Roman" w:cs="Times New Roman"/>
          <w:color w:val="000000"/>
        </w:rPr>
        <w:t xml:space="preserve">due to </w:t>
      </w:r>
      <w:r w:rsidR="005107D5">
        <w:rPr>
          <w:rFonts w:ascii="Times New Roman" w:hAnsi="Times New Roman" w:cs="Times New Roman"/>
          <w:color w:val="000000"/>
        </w:rPr>
        <w:t xml:space="preserve">designation </w:t>
      </w:r>
      <w:r w:rsidR="005B09F0">
        <w:rPr>
          <w:rFonts w:ascii="Times New Roman" w:hAnsi="Times New Roman" w:cs="Times New Roman"/>
          <w:color w:val="000000"/>
        </w:rPr>
        <w:t>re</w:t>
      </w:r>
      <w:r w:rsidR="00B53935">
        <w:rPr>
          <w:rFonts w:ascii="Times New Roman" w:hAnsi="Times New Roman" w:cs="Times New Roman"/>
          <w:color w:val="000000"/>
        </w:rPr>
        <w:t>s</w:t>
      </w:r>
      <w:r w:rsidR="005B09F0">
        <w:rPr>
          <w:rFonts w:ascii="Times New Roman" w:hAnsi="Times New Roman" w:cs="Times New Roman"/>
          <w:color w:val="000000"/>
        </w:rPr>
        <w:t xml:space="preserve">cissions </w:t>
      </w:r>
      <w:r w:rsidR="005107D5">
        <w:rPr>
          <w:rFonts w:ascii="Times New Roman" w:hAnsi="Times New Roman" w:cs="Times New Roman"/>
          <w:color w:val="000000"/>
        </w:rPr>
        <w:t>and successful legal challenges,</w:t>
      </w:r>
      <w:r w:rsidR="005B09F0">
        <w:rPr>
          <w:rFonts w:ascii="Times New Roman" w:hAnsi="Times New Roman" w:cs="Times New Roman"/>
          <w:color w:val="000000"/>
        </w:rPr>
        <w:t xml:space="preserve"> no</w:t>
      </w:r>
      <w:r w:rsidR="00A40159">
        <w:rPr>
          <w:rFonts w:ascii="Times New Roman" w:hAnsi="Times New Roman" w:cs="Times New Roman"/>
          <w:color w:val="000000"/>
        </w:rPr>
        <w:t xml:space="preserve"> non-bank firms </w:t>
      </w:r>
      <w:r w:rsidR="005B09F0">
        <w:rPr>
          <w:rFonts w:ascii="Times New Roman" w:hAnsi="Times New Roman" w:cs="Times New Roman"/>
          <w:color w:val="000000"/>
        </w:rPr>
        <w:t xml:space="preserve">are </w:t>
      </w:r>
      <w:r w:rsidR="005107D5">
        <w:rPr>
          <w:rFonts w:ascii="Times New Roman" w:hAnsi="Times New Roman" w:cs="Times New Roman"/>
          <w:color w:val="000000"/>
        </w:rPr>
        <w:t xml:space="preserve">currently </w:t>
      </w:r>
      <w:r w:rsidR="005B09F0">
        <w:rPr>
          <w:rFonts w:ascii="Times New Roman" w:hAnsi="Times New Roman" w:cs="Times New Roman"/>
          <w:color w:val="000000"/>
        </w:rPr>
        <w:t xml:space="preserve">designated </w:t>
      </w:r>
      <w:r w:rsidR="00127300">
        <w:rPr>
          <w:rFonts w:ascii="Times New Roman" w:hAnsi="Times New Roman" w:cs="Times New Roman"/>
          <w:color w:val="000000"/>
        </w:rPr>
        <w:t xml:space="preserve">by FSOC </w:t>
      </w:r>
      <w:r w:rsidR="005B09F0">
        <w:rPr>
          <w:rFonts w:ascii="Times New Roman" w:hAnsi="Times New Roman" w:cs="Times New Roman"/>
          <w:color w:val="000000"/>
        </w:rPr>
        <w:t>under Section 113</w:t>
      </w:r>
      <w:r w:rsidR="001A1658">
        <w:rPr>
          <w:rFonts w:ascii="Times New Roman" w:hAnsi="Times New Roman" w:cs="Times New Roman"/>
          <w:color w:val="000000"/>
        </w:rPr>
        <w:t xml:space="preserve">. </w:t>
      </w:r>
    </w:p>
    <w:p w14:paraId="7A7085CC" w14:textId="77777777" w:rsidR="00F50F41" w:rsidRDefault="00F50F41" w:rsidP="00C660AB">
      <w:pPr>
        <w:pStyle w:val="NormalWeb"/>
        <w:tabs>
          <w:tab w:val="left" w:pos="2520"/>
        </w:tabs>
        <w:rPr>
          <w:rFonts w:ascii="Times New Roman" w:hAnsi="Times New Roman" w:cs="Times New Roman"/>
          <w:color w:val="000000"/>
        </w:rPr>
      </w:pPr>
    </w:p>
    <w:p w14:paraId="07CA5C57" w14:textId="77777777" w:rsidR="007F624A" w:rsidRPr="006E482F" w:rsidRDefault="00F50F41" w:rsidP="00F50F41">
      <w:pPr>
        <w:pStyle w:val="NormalWeb"/>
        <w:rPr>
          <w:rFonts w:ascii="Times New Roman" w:hAnsi="Times New Roman" w:cs="Times New Roman"/>
          <w:b/>
          <w:bCs/>
          <w:i/>
          <w:iCs/>
          <w:color w:val="2F5496" w:themeColor="accent1" w:themeShade="BF"/>
        </w:rPr>
      </w:pPr>
      <w:r w:rsidRPr="006E482F">
        <w:rPr>
          <w:rFonts w:ascii="Times New Roman" w:hAnsi="Times New Roman" w:cs="Times New Roman"/>
          <w:b/>
          <w:bCs/>
          <w:color w:val="2F5496" w:themeColor="accent1" w:themeShade="BF"/>
        </w:rPr>
        <w:tab/>
        <w:t xml:space="preserve">A) </w:t>
      </w:r>
      <w:r w:rsidR="00CA63DC" w:rsidRPr="006E482F">
        <w:rPr>
          <w:rFonts w:ascii="Times New Roman" w:hAnsi="Times New Roman" w:cs="Times New Roman"/>
          <w:b/>
          <w:bCs/>
          <w:i/>
          <w:iCs/>
          <w:color w:val="2F5496" w:themeColor="accent1" w:themeShade="BF"/>
        </w:rPr>
        <w:t xml:space="preserve">Understanding </w:t>
      </w:r>
      <w:r w:rsidR="0076550D" w:rsidRPr="006E482F">
        <w:rPr>
          <w:rFonts w:ascii="Times New Roman" w:hAnsi="Times New Roman" w:cs="Times New Roman"/>
          <w:b/>
          <w:bCs/>
          <w:i/>
          <w:iCs/>
          <w:color w:val="2F5496" w:themeColor="accent1" w:themeShade="BF"/>
        </w:rPr>
        <w:t xml:space="preserve">the </w:t>
      </w:r>
      <w:r w:rsidR="00CA63DC" w:rsidRPr="006E482F">
        <w:rPr>
          <w:rFonts w:ascii="Times New Roman" w:hAnsi="Times New Roman" w:cs="Times New Roman"/>
          <w:b/>
          <w:bCs/>
          <w:i/>
          <w:iCs/>
          <w:color w:val="2F5496" w:themeColor="accent1" w:themeShade="BF"/>
        </w:rPr>
        <w:t>O</w:t>
      </w:r>
      <w:r w:rsidRPr="006E482F">
        <w:rPr>
          <w:rFonts w:ascii="Times New Roman" w:hAnsi="Times New Roman" w:cs="Times New Roman"/>
          <w:b/>
          <w:bCs/>
          <w:i/>
          <w:iCs/>
          <w:color w:val="2F5496" w:themeColor="accent1" w:themeShade="BF"/>
        </w:rPr>
        <w:t>bama</w:t>
      </w:r>
      <w:r w:rsidRPr="006E482F">
        <w:rPr>
          <w:rFonts w:ascii="Times New Roman" w:hAnsi="Times New Roman" w:cs="Times New Roman"/>
          <w:b/>
          <w:bCs/>
          <w:color w:val="2F5496" w:themeColor="accent1" w:themeShade="BF"/>
        </w:rPr>
        <w:t xml:space="preserve"> </w:t>
      </w:r>
      <w:r w:rsidRPr="006E482F">
        <w:rPr>
          <w:rFonts w:ascii="Times New Roman" w:hAnsi="Times New Roman" w:cs="Times New Roman"/>
          <w:b/>
          <w:bCs/>
          <w:i/>
          <w:iCs/>
          <w:color w:val="2F5496" w:themeColor="accent1" w:themeShade="BF"/>
        </w:rPr>
        <w:t>Administration</w:t>
      </w:r>
      <w:r w:rsidR="0076550D" w:rsidRPr="006E482F">
        <w:rPr>
          <w:rFonts w:ascii="Times New Roman" w:hAnsi="Times New Roman" w:cs="Times New Roman"/>
          <w:b/>
          <w:bCs/>
          <w:i/>
          <w:iCs/>
          <w:color w:val="2F5496" w:themeColor="accent1" w:themeShade="BF"/>
        </w:rPr>
        <w:t xml:space="preserve">’s </w:t>
      </w:r>
      <w:r w:rsidR="007F624A" w:rsidRPr="006E482F">
        <w:rPr>
          <w:rFonts w:ascii="Times New Roman" w:hAnsi="Times New Roman" w:cs="Times New Roman"/>
          <w:b/>
          <w:bCs/>
          <w:i/>
          <w:iCs/>
          <w:color w:val="2F5496" w:themeColor="accent1" w:themeShade="BF"/>
        </w:rPr>
        <w:t xml:space="preserve">successful and attempted </w:t>
      </w:r>
      <w:r w:rsidRPr="006E482F">
        <w:rPr>
          <w:rFonts w:ascii="Times New Roman" w:hAnsi="Times New Roman" w:cs="Times New Roman"/>
          <w:b/>
          <w:bCs/>
          <w:i/>
          <w:iCs/>
          <w:color w:val="2F5496" w:themeColor="accent1" w:themeShade="BF"/>
        </w:rPr>
        <w:t xml:space="preserve">Section 113 </w:t>
      </w:r>
    </w:p>
    <w:p w14:paraId="7A162CF8" w14:textId="28C77BFE" w:rsidR="00F50F41" w:rsidRPr="00BB0FBB" w:rsidRDefault="007F624A" w:rsidP="00F50F41">
      <w:pPr>
        <w:pStyle w:val="NormalWeb"/>
        <w:rPr>
          <w:rFonts w:ascii="Times New Roman" w:hAnsi="Times New Roman" w:cs="Times New Roman"/>
          <w:b/>
          <w:bCs/>
          <w:i/>
          <w:iCs/>
          <w:color w:val="2F5496" w:themeColor="accent1" w:themeShade="BF"/>
        </w:rPr>
      </w:pPr>
      <w:r>
        <w:rPr>
          <w:rFonts w:ascii="Times New Roman" w:hAnsi="Times New Roman" w:cs="Times New Roman"/>
          <w:b/>
          <w:bCs/>
          <w:i/>
          <w:iCs/>
          <w:color w:val="2F5496" w:themeColor="accent1" w:themeShade="BF"/>
        </w:rPr>
        <w:tab/>
        <w:t xml:space="preserve">     </w:t>
      </w:r>
      <w:r w:rsidR="00F50F41" w:rsidRPr="00BB0FBB">
        <w:rPr>
          <w:rFonts w:ascii="Times New Roman" w:hAnsi="Times New Roman" w:cs="Times New Roman"/>
          <w:b/>
          <w:bCs/>
          <w:i/>
          <w:iCs/>
          <w:color w:val="2F5496" w:themeColor="accent1" w:themeShade="BF"/>
        </w:rPr>
        <w:t xml:space="preserve">designations </w:t>
      </w:r>
    </w:p>
    <w:p w14:paraId="062A469C" w14:textId="77777777" w:rsidR="00F50F41" w:rsidRDefault="00F50F41" w:rsidP="00C660AB">
      <w:pPr>
        <w:pStyle w:val="NormalWeb"/>
        <w:tabs>
          <w:tab w:val="left" w:pos="2520"/>
        </w:tabs>
        <w:rPr>
          <w:rFonts w:ascii="Times New Roman" w:hAnsi="Times New Roman" w:cs="Times New Roman"/>
          <w:color w:val="000000"/>
        </w:rPr>
      </w:pPr>
    </w:p>
    <w:p w14:paraId="081FDA2E" w14:textId="320D50CF" w:rsidR="00A03139" w:rsidRDefault="00F50F41" w:rsidP="00C660AB">
      <w:pPr>
        <w:pStyle w:val="NormalWeb"/>
        <w:tabs>
          <w:tab w:val="left" w:pos="2520"/>
        </w:tabs>
        <w:rPr>
          <w:rFonts w:ascii="Times New Roman" w:hAnsi="Times New Roman" w:cs="Times New Roman"/>
          <w:color w:val="000000"/>
        </w:rPr>
      </w:pPr>
      <w:r>
        <w:rPr>
          <w:rFonts w:ascii="Times New Roman" w:hAnsi="Times New Roman" w:cs="Times New Roman"/>
          <w:color w:val="000000"/>
        </w:rPr>
        <w:t xml:space="preserve">The Obama Administration’s four Section 113 </w:t>
      </w:r>
      <w:r w:rsidR="001A6BB6">
        <w:rPr>
          <w:rFonts w:ascii="Times New Roman" w:hAnsi="Times New Roman" w:cs="Times New Roman"/>
          <w:color w:val="000000"/>
        </w:rPr>
        <w:t xml:space="preserve">designations were enabled by April 2012 </w:t>
      </w:r>
      <w:r w:rsidR="00EC184A">
        <w:rPr>
          <w:rFonts w:ascii="Times New Roman" w:hAnsi="Times New Roman" w:cs="Times New Roman"/>
          <w:color w:val="000000"/>
        </w:rPr>
        <w:t xml:space="preserve">Treasury Department guidance </w:t>
      </w:r>
      <w:r w:rsidR="001A6BB6">
        <w:rPr>
          <w:rFonts w:ascii="Times New Roman" w:hAnsi="Times New Roman" w:cs="Times New Roman"/>
          <w:color w:val="000000"/>
        </w:rPr>
        <w:t xml:space="preserve">regarding </w:t>
      </w:r>
      <w:r w:rsidR="00145B75">
        <w:rPr>
          <w:rFonts w:ascii="Times New Roman" w:hAnsi="Times New Roman" w:cs="Times New Roman"/>
          <w:color w:val="000000"/>
        </w:rPr>
        <w:t>FSOC’s use of</w:t>
      </w:r>
      <w:r w:rsidR="00EC184A">
        <w:rPr>
          <w:rFonts w:ascii="Times New Roman" w:hAnsi="Times New Roman" w:cs="Times New Roman"/>
          <w:color w:val="000000"/>
        </w:rPr>
        <w:t xml:space="preserve"> Section 113 authorities</w:t>
      </w:r>
      <w:r w:rsidR="001A6BB6">
        <w:rPr>
          <w:rFonts w:ascii="Times New Roman" w:hAnsi="Times New Roman" w:cs="Times New Roman"/>
          <w:color w:val="000000"/>
        </w:rPr>
        <w:t xml:space="preserve"> (“2012 Non</w:t>
      </w:r>
      <w:r w:rsidR="00F10133">
        <w:rPr>
          <w:rFonts w:ascii="Times New Roman" w:hAnsi="Times New Roman" w:cs="Times New Roman"/>
          <w:color w:val="000000"/>
        </w:rPr>
        <w:t>-</w:t>
      </w:r>
      <w:r w:rsidR="001A6BB6">
        <w:rPr>
          <w:rFonts w:ascii="Times New Roman" w:hAnsi="Times New Roman" w:cs="Times New Roman"/>
          <w:color w:val="000000"/>
        </w:rPr>
        <w:t>bank Guidance”)</w:t>
      </w:r>
      <w:r w:rsidR="00EC184A">
        <w:rPr>
          <w:rFonts w:ascii="Times New Roman" w:hAnsi="Times New Roman" w:cs="Times New Roman"/>
          <w:color w:val="000000"/>
        </w:rPr>
        <w:t>.</w:t>
      </w:r>
      <w:r w:rsidR="00C71A8A">
        <w:rPr>
          <w:rStyle w:val="FootnoteReference"/>
          <w:rFonts w:ascii="Times New Roman" w:hAnsi="Times New Roman" w:cs="Times New Roman"/>
          <w:color w:val="000000"/>
        </w:rPr>
        <w:footnoteReference w:id="25"/>
      </w:r>
      <w:r w:rsidR="00C71A8A">
        <w:rPr>
          <w:rFonts w:ascii="Times New Roman" w:hAnsi="Times New Roman" w:cs="Times New Roman"/>
          <w:color w:val="000000"/>
        </w:rPr>
        <w:t xml:space="preserve"> </w:t>
      </w:r>
      <w:r w:rsidR="00AB6512">
        <w:rPr>
          <w:rFonts w:ascii="Times New Roman" w:hAnsi="Times New Roman" w:cs="Times New Roman"/>
          <w:color w:val="000000"/>
        </w:rPr>
        <w:t>About</w:t>
      </w:r>
      <w:r w:rsidR="00F20E28">
        <w:rPr>
          <w:rFonts w:ascii="Times New Roman" w:hAnsi="Times New Roman" w:cs="Times New Roman"/>
          <w:color w:val="000000"/>
        </w:rPr>
        <w:t xml:space="preserve"> </w:t>
      </w:r>
      <w:r w:rsidR="00AB6512">
        <w:rPr>
          <w:rFonts w:ascii="Times New Roman" w:hAnsi="Times New Roman" w:cs="Times New Roman"/>
          <w:color w:val="000000"/>
        </w:rPr>
        <w:t>one year later</w:t>
      </w:r>
      <w:r w:rsidR="00F20E28">
        <w:rPr>
          <w:rFonts w:ascii="Times New Roman" w:hAnsi="Times New Roman" w:cs="Times New Roman"/>
          <w:color w:val="000000"/>
        </w:rPr>
        <w:t xml:space="preserve">, in </w:t>
      </w:r>
      <w:r w:rsidR="0092794F">
        <w:rPr>
          <w:rFonts w:ascii="Times New Roman" w:hAnsi="Times New Roman" w:cs="Times New Roman"/>
          <w:color w:val="000000"/>
        </w:rPr>
        <w:t xml:space="preserve">July 2013, </w:t>
      </w:r>
      <w:r w:rsidR="00F20E28">
        <w:rPr>
          <w:rFonts w:ascii="Times New Roman" w:hAnsi="Times New Roman" w:cs="Times New Roman"/>
          <w:color w:val="000000"/>
        </w:rPr>
        <w:t xml:space="preserve">FSOC </w:t>
      </w:r>
      <w:r w:rsidR="001A6BB6">
        <w:rPr>
          <w:rFonts w:ascii="Times New Roman" w:hAnsi="Times New Roman" w:cs="Times New Roman"/>
          <w:color w:val="000000"/>
        </w:rPr>
        <w:t>designated</w:t>
      </w:r>
      <w:r w:rsidR="00F20E28">
        <w:rPr>
          <w:rFonts w:ascii="Times New Roman" w:hAnsi="Times New Roman" w:cs="Times New Roman"/>
          <w:color w:val="000000"/>
        </w:rPr>
        <w:t xml:space="preserve"> </w:t>
      </w:r>
      <w:r w:rsidR="00F20E28" w:rsidRPr="00F20E28">
        <w:rPr>
          <w:rFonts w:ascii="Times New Roman" w:hAnsi="Times New Roman" w:cs="Times New Roman"/>
          <w:color w:val="000000"/>
        </w:rPr>
        <w:t xml:space="preserve">American International Group, Inc. </w:t>
      </w:r>
      <w:r w:rsidR="003D1872">
        <w:rPr>
          <w:rFonts w:ascii="Times New Roman" w:hAnsi="Times New Roman" w:cs="Times New Roman"/>
          <w:color w:val="000000"/>
        </w:rPr>
        <w:t xml:space="preserve">(“AIG”) </w:t>
      </w:r>
      <w:r w:rsidR="00F20E28" w:rsidRPr="00F20E28">
        <w:rPr>
          <w:rFonts w:ascii="Times New Roman" w:hAnsi="Times New Roman" w:cs="Times New Roman"/>
          <w:color w:val="000000"/>
        </w:rPr>
        <w:t>and General Electric Capital Corporation, Inc.</w:t>
      </w:r>
      <w:r w:rsidR="00F20E28">
        <w:rPr>
          <w:rFonts w:ascii="Times New Roman" w:hAnsi="Times New Roman" w:cs="Times New Roman"/>
          <w:color w:val="000000"/>
        </w:rPr>
        <w:t xml:space="preserve"> </w:t>
      </w:r>
      <w:r w:rsidR="003D1872">
        <w:rPr>
          <w:rFonts w:ascii="Times New Roman" w:hAnsi="Times New Roman" w:cs="Times New Roman"/>
          <w:color w:val="000000"/>
        </w:rPr>
        <w:t xml:space="preserve">(“GECC”) </w:t>
      </w:r>
      <w:r w:rsidR="00D214C6">
        <w:rPr>
          <w:rFonts w:ascii="Times New Roman" w:hAnsi="Times New Roman" w:cs="Times New Roman"/>
          <w:color w:val="000000"/>
        </w:rPr>
        <w:t>under the First Determination Standard.</w:t>
      </w:r>
      <w:r w:rsidR="008D776E">
        <w:rPr>
          <w:rStyle w:val="FootnoteReference"/>
          <w:rFonts w:ascii="Times New Roman" w:hAnsi="Times New Roman" w:cs="Times New Roman"/>
          <w:color w:val="000000"/>
        </w:rPr>
        <w:footnoteReference w:id="26"/>
      </w:r>
      <w:r w:rsidR="002043A3">
        <w:rPr>
          <w:rFonts w:ascii="Times New Roman" w:hAnsi="Times New Roman" w:cs="Times New Roman"/>
          <w:color w:val="000000"/>
        </w:rPr>
        <w:t xml:space="preserve"> </w:t>
      </w:r>
      <w:r w:rsidR="005E2B3B">
        <w:rPr>
          <w:rFonts w:ascii="Times New Roman" w:hAnsi="Times New Roman" w:cs="Times New Roman"/>
          <w:color w:val="000000"/>
        </w:rPr>
        <w:t>I</w:t>
      </w:r>
      <w:r w:rsidR="00D51A1F">
        <w:rPr>
          <w:rFonts w:ascii="Times New Roman" w:hAnsi="Times New Roman" w:cs="Times New Roman"/>
          <w:color w:val="000000"/>
        </w:rPr>
        <w:t xml:space="preserve">nsurers Prudential Financial, Inc. </w:t>
      </w:r>
      <w:r w:rsidR="003D1872">
        <w:rPr>
          <w:rFonts w:ascii="Times New Roman" w:hAnsi="Times New Roman" w:cs="Times New Roman"/>
          <w:color w:val="000000"/>
        </w:rPr>
        <w:t xml:space="preserve">(“Prudential”) </w:t>
      </w:r>
      <w:r w:rsidR="00D51A1F">
        <w:rPr>
          <w:rFonts w:ascii="Times New Roman" w:hAnsi="Times New Roman" w:cs="Times New Roman"/>
          <w:color w:val="000000"/>
        </w:rPr>
        <w:t xml:space="preserve">and MetLife, Inc. </w:t>
      </w:r>
      <w:r w:rsidR="003D1872">
        <w:rPr>
          <w:rFonts w:ascii="Times New Roman" w:hAnsi="Times New Roman" w:cs="Times New Roman"/>
          <w:color w:val="000000"/>
        </w:rPr>
        <w:t xml:space="preserve">(“MetLife”) </w:t>
      </w:r>
      <w:r w:rsidR="00D51A1F">
        <w:rPr>
          <w:rFonts w:ascii="Times New Roman" w:hAnsi="Times New Roman" w:cs="Times New Roman"/>
          <w:color w:val="000000"/>
        </w:rPr>
        <w:t xml:space="preserve">were similarly </w:t>
      </w:r>
      <w:r w:rsidR="007861B0">
        <w:rPr>
          <w:rFonts w:ascii="Times New Roman" w:hAnsi="Times New Roman" w:cs="Times New Roman"/>
          <w:color w:val="000000"/>
        </w:rPr>
        <w:t>designated</w:t>
      </w:r>
      <w:r w:rsidR="00D51A1F">
        <w:rPr>
          <w:rFonts w:ascii="Times New Roman" w:hAnsi="Times New Roman" w:cs="Times New Roman"/>
          <w:color w:val="000000"/>
        </w:rPr>
        <w:t xml:space="preserve"> in September 2013 and December 2014, respectively</w:t>
      </w:r>
      <w:r w:rsidR="00D214C6">
        <w:rPr>
          <w:rFonts w:ascii="Times New Roman" w:hAnsi="Times New Roman" w:cs="Times New Roman"/>
          <w:color w:val="000000"/>
        </w:rPr>
        <w:t>, under the First Determination Standard</w:t>
      </w:r>
      <w:r w:rsidR="00D51A1F">
        <w:rPr>
          <w:rFonts w:ascii="Times New Roman" w:hAnsi="Times New Roman" w:cs="Times New Roman"/>
          <w:color w:val="000000"/>
        </w:rPr>
        <w:t>.</w:t>
      </w:r>
      <w:r w:rsidR="007861B0">
        <w:rPr>
          <w:rStyle w:val="FootnoteReference"/>
          <w:rFonts w:ascii="Times New Roman" w:hAnsi="Times New Roman" w:cs="Times New Roman"/>
          <w:color w:val="000000"/>
        </w:rPr>
        <w:footnoteReference w:id="27"/>
      </w:r>
      <w:r w:rsidR="00D2685B">
        <w:rPr>
          <w:rFonts w:ascii="Times New Roman" w:hAnsi="Times New Roman" w:cs="Times New Roman"/>
          <w:color w:val="000000"/>
        </w:rPr>
        <w:t xml:space="preserve"> </w:t>
      </w:r>
    </w:p>
    <w:p w14:paraId="64FB6201" w14:textId="77777777" w:rsidR="00A03139" w:rsidRDefault="00A03139" w:rsidP="00C660AB">
      <w:pPr>
        <w:pStyle w:val="NormalWeb"/>
        <w:tabs>
          <w:tab w:val="left" w:pos="2520"/>
        </w:tabs>
        <w:rPr>
          <w:rFonts w:ascii="Times New Roman" w:hAnsi="Times New Roman" w:cs="Times New Roman"/>
          <w:color w:val="000000"/>
        </w:rPr>
      </w:pPr>
    </w:p>
    <w:p w14:paraId="24C139EC" w14:textId="5FF3325B" w:rsidR="00A738E7" w:rsidRDefault="003A2B1A" w:rsidP="00C660AB">
      <w:pPr>
        <w:pStyle w:val="NormalWeb"/>
        <w:tabs>
          <w:tab w:val="left" w:pos="2520"/>
        </w:tabs>
        <w:rPr>
          <w:rFonts w:ascii="Times New Roman" w:hAnsi="Times New Roman" w:cs="Times New Roman"/>
          <w:color w:val="000000"/>
        </w:rPr>
      </w:pPr>
      <w:r w:rsidRPr="00B533DD">
        <w:rPr>
          <w:rFonts w:ascii="Times New Roman" w:hAnsi="Times New Roman" w:cs="Times New Roman"/>
          <w:color w:val="000000"/>
        </w:rPr>
        <w:t xml:space="preserve">FSOC attempted to designate large asset managers </w:t>
      </w:r>
      <w:r w:rsidR="00C660AB" w:rsidRPr="00B533DD">
        <w:rPr>
          <w:rFonts w:ascii="Times New Roman" w:hAnsi="Times New Roman" w:cs="Times New Roman"/>
          <w:color w:val="000000"/>
        </w:rPr>
        <w:t xml:space="preserve">in 2014 </w:t>
      </w:r>
      <w:r w:rsidRPr="00B533DD">
        <w:rPr>
          <w:rFonts w:ascii="Times New Roman" w:hAnsi="Times New Roman" w:cs="Times New Roman"/>
          <w:color w:val="000000"/>
        </w:rPr>
        <w:t>under Section 113</w:t>
      </w:r>
      <w:r w:rsidR="00347FB5" w:rsidRPr="00B533DD">
        <w:rPr>
          <w:rFonts w:ascii="Times New Roman" w:hAnsi="Times New Roman" w:cs="Times New Roman"/>
          <w:color w:val="000000"/>
        </w:rPr>
        <w:t xml:space="preserve">, but </w:t>
      </w:r>
      <w:r w:rsidR="00C660AB" w:rsidRPr="00B533DD">
        <w:rPr>
          <w:rFonts w:ascii="Times New Roman" w:hAnsi="Times New Roman" w:cs="Times New Roman"/>
          <w:color w:val="000000"/>
        </w:rPr>
        <w:t>after months of advocacy work by these firms, this effort did not materialize.</w:t>
      </w:r>
      <w:r w:rsidR="00C660AB" w:rsidRPr="00B533DD">
        <w:rPr>
          <w:rStyle w:val="FootnoteReference"/>
          <w:rFonts w:ascii="Times New Roman" w:hAnsi="Times New Roman" w:cs="Times New Roman"/>
          <w:color w:val="000000"/>
        </w:rPr>
        <w:footnoteReference w:id="28"/>
      </w:r>
      <w:r w:rsidR="00566E55" w:rsidRPr="00B533DD">
        <w:rPr>
          <w:rFonts w:ascii="Times New Roman" w:hAnsi="Times New Roman" w:cs="Times New Roman"/>
          <w:color w:val="000000"/>
        </w:rPr>
        <w:t xml:space="preserve"> FSOC</w:t>
      </w:r>
      <w:r w:rsidR="003900EA" w:rsidRPr="00B533DD">
        <w:rPr>
          <w:rFonts w:ascii="Times New Roman" w:hAnsi="Times New Roman" w:cs="Times New Roman"/>
          <w:color w:val="000000"/>
        </w:rPr>
        <w:t xml:space="preserve"> also</w:t>
      </w:r>
      <w:r w:rsidR="00566E55" w:rsidRPr="00B533DD">
        <w:rPr>
          <w:rFonts w:ascii="Times New Roman" w:hAnsi="Times New Roman" w:cs="Times New Roman"/>
          <w:color w:val="000000"/>
        </w:rPr>
        <w:t xml:space="preserve"> </w:t>
      </w:r>
      <w:r w:rsidR="00183517" w:rsidRPr="00B533DD">
        <w:rPr>
          <w:rFonts w:ascii="Times New Roman" w:hAnsi="Times New Roman" w:cs="Times New Roman"/>
          <w:color w:val="000000"/>
        </w:rPr>
        <w:t xml:space="preserve">targeted </w:t>
      </w:r>
      <w:r w:rsidR="00566E55" w:rsidRPr="00B533DD">
        <w:rPr>
          <w:rFonts w:ascii="Times New Roman" w:hAnsi="Times New Roman" w:cs="Times New Roman"/>
          <w:color w:val="000000"/>
        </w:rPr>
        <w:t xml:space="preserve">money market funds </w:t>
      </w:r>
      <w:r w:rsidR="003900EA" w:rsidRPr="00B533DD">
        <w:rPr>
          <w:rFonts w:ascii="Times New Roman" w:hAnsi="Times New Roman" w:cs="Times New Roman"/>
          <w:color w:val="000000"/>
        </w:rPr>
        <w:t>(“MMFs”)</w:t>
      </w:r>
      <w:r w:rsidR="00A51C84" w:rsidRPr="00B533DD">
        <w:rPr>
          <w:rFonts w:ascii="Times New Roman" w:hAnsi="Times New Roman" w:cs="Times New Roman"/>
          <w:color w:val="000000"/>
        </w:rPr>
        <w:t xml:space="preserve"> offered by these firms</w:t>
      </w:r>
      <w:r w:rsidR="00183517" w:rsidRPr="00B533DD">
        <w:rPr>
          <w:rFonts w:ascii="Times New Roman" w:hAnsi="Times New Roman" w:cs="Times New Roman"/>
          <w:color w:val="000000"/>
        </w:rPr>
        <w:t xml:space="preserve">, </w:t>
      </w:r>
      <w:r w:rsidR="000108CD">
        <w:rPr>
          <w:rFonts w:ascii="Times New Roman" w:hAnsi="Times New Roman" w:cs="Times New Roman"/>
          <w:color w:val="000000"/>
        </w:rPr>
        <w:t>and used</w:t>
      </w:r>
      <w:r w:rsidR="00183517" w:rsidRPr="00B533DD">
        <w:rPr>
          <w:rFonts w:ascii="Times New Roman" w:hAnsi="Times New Roman" w:cs="Times New Roman"/>
          <w:color w:val="000000"/>
        </w:rPr>
        <w:t xml:space="preserve"> its </w:t>
      </w:r>
      <w:r w:rsidR="008D7242" w:rsidRPr="00B533DD">
        <w:rPr>
          <w:rFonts w:ascii="Times New Roman" w:hAnsi="Times New Roman" w:cs="Times New Roman"/>
          <w:color w:val="000000"/>
        </w:rPr>
        <w:t xml:space="preserve">Dodd-Frank Act </w:t>
      </w:r>
      <w:r w:rsidR="00183517" w:rsidRPr="00B533DD">
        <w:rPr>
          <w:rFonts w:ascii="Times New Roman" w:hAnsi="Times New Roman" w:cs="Times New Roman"/>
          <w:color w:val="000000"/>
        </w:rPr>
        <w:t xml:space="preserve">Section 120 authority to </w:t>
      </w:r>
      <w:r w:rsidR="007A69FC" w:rsidRPr="00B533DD">
        <w:rPr>
          <w:rFonts w:ascii="Times New Roman" w:hAnsi="Times New Roman" w:cs="Times New Roman"/>
          <w:color w:val="000000"/>
        </w:rPr>
        <w:t xml:space="preserve">propose </w:t>
      </w:r>
      <w:r w:rsidR="008D7242" w:rsidRPr="00B533DD">
        <w:rPr>
          <w:rFonts w:ascii="Times New Roman" w:hAnsi="Times New Roman" w:cs="Times New Roman"/>
          <w:color w:val="000000"/>
        </w:rPr>
        <w:t>non-</w:t>
      </w:r>
      <w:r w:rsidR="008D7242" w:rsidRPr="00B533DD">
        <w:rPr>
          <w:rFonts w:ascii="Times New Roman" w:hAnsi="Times New Roman" w:cs="Times New Roman"/>
          <w:color w:val="000000"/>
        </w:rPr>
        <w:lastRenderedPageBreak/>
        <w:t xml:space="preserve">binding </w:t>
      </w:r>
      <w:r w:rsidR="004E0DCE" w:rsidRPr="00B533DD">
        <w:rPr>
          <w:rFonts w:ascii="Times New Roman" w:hAnsi="Times New Roman" w:cs="Times New Roman"/>
          <w:color w:val="000000"/>
        </w:rPr>
        <w:t>recommen</w:t>
      </w:r>
      <w:r w:rsidR="007A69FC" w:rsidRPr="00B533DD">
        <w:rPr>
          <w:rFonts w:ascii="Times New Roman" w:hAnsi="Times New Roman" w:cs="Times New Roman"/>
          <w:color w:val="000000"/>
        </w:rPr>
        <w:t xml:space="preserve">dations for the </w:t>
      </w:r>
      <w:r w:rsidR="00183517" w:rsidRPr="00B533DD">
        <w:rPr>
          <w:rFonts w:ascii="Times New Roman" w:hAnsi="Times New Roman" w:cs="Times New Roman"/>
          <w:color w:val="000000"/>
        </w:rPr>
        <w:t xml:space="preserve">SEC </w:t>
      </w:r>
      <w:r w:rsidR="007A69FC" w:rsidRPr="00B533DD">
        <w:rPr>
          <w:rFonts w:ascii="Times New Roman" w:hAnsi="Times New Roman" w:cs="Times New Roman"/>
          <w:color w:val="000000"/>
        </w:rPr>
        <w:t>to act on MMFs</w:t>
      </w:r>
      <w:r w:rsidR="00A51C84" w:rsidRPr="00B533DD">
        <w:rPr>
          <w:rFonts w:ascii="Times New Roman" w:hAnsi="Times New Roman" w:cs="Times New Roman"/>
          <w:color w:val="000000"/>
        </w:rPr>
        <w:t>.</w:t>
      </w:r>
      <w:r w:rsidR="00CF2ED2" w:rsidRPr="00B533DD">
        <w:rPr>
          <w:rStyle w:val="FootnoteReference"/>
          <w:rFonts w:ascii="Times New Roman" w:hAnsi="Times New Roman" w:cs="Times New Roman"/>
          <w:color w:val="000000"/>
        </w:rPr>
        <w:footnoteReference w:id="29"/>
      </w:r>
      <w:r w:rsidR="00A51C84" w:rsidRPr="00B533DD">
        <w:rPr>
          <w:rFonts w:ascii="Times New Roman" w:hAnsi="Times New Roman" w:cs="Times New Roman"/>
          <w:color w:val="000000"/>
        </w:rPr>
        <w:t xml:space="preserve"> This effort was likewise met with fierce industry resistance,</w:t>
      </w:r>
      <w:r w:rsidR="00877905" w:rsidRPr="00B533DD">
        <w:rPr>
          <w:rStyle w:val="FootnoteReference"/>
          <w:rFonts w:ascii="Times New Roman" w:hAnsi="Times New Roman" w:cs="Times New Roman"/>
          <w:color w:val="000000"/>
        </w:rPr>
        <w:footnoteReference w:id="30"/>
      </w:r>
      <w:r w:rsidR="00A51C84" w:rsidRPr="00B533DD">
        <w:rPr>
          <w:rFonts w:ascii="Times New Roman" w:hAnsi="Times New Roman" w:cs="Times New Roman"/>
          <w:color w:val="000000"/>
        </w:rPr>
        <w:t xml:space="preserve"> </w:t>
      </w:r>
      <w:r w:rsidR="00F56003" w:rsidRPr="00B533DD">
        <w:rPr>
          <w:rFonts w:ascii="Times New Roman" w:hAnsi="Times New Roman" w:cs="Times New Roman"/>
          <w:color w:val="000000"/>
        </w:rPr>
        <w:t xml:space="preserve">but </w:t>
      </w:r>
      <w:r w:rsidR="007C4C8D" w:rsidRPr="00B533DD">
        <w:rPr>
          <w:rFonts w:ascii="Times New Roman" w:hAnsi="Times New Roman" w:cs="Times New Roman"/>
          <w:color w:val="000000"/>
        </w:rPr>
        <w:t xml:space="preserve">significantly </w:t>
      </w:r>
      <w:r w:rsidR="00F56003" w:rsidRPr="00B533DD">
        <w:rPr>
          <w:rFonts w:ascii="Times New Roman" w:hAnsi="Times New Roman" w:cs="Times New Roman"/>
          <w:color w:val="000000"/>
        </w:rPr>
        <w:t xml:space="preserve">influenced </w:t>
      </w:r>
      <w:r w:rsidR="007C4C8D" w:rsidRPr="00B533DD">
        <w:rPr>
          <w:rFonts w:ascii="Times New Roman" w:hAnsi="Times New Roman" w:cs="Times New Roman"/>
          <w:color w:val="000000"/>
        </w:rPr>
        <w:t xml:space="preserve">new </w:t>
      </w:r>
      <w:r w:rsidR="00F56003" w:rsidRPr="00B533DD">
        <w:rPr>
          <w:rFonts w:ascii="Times New Roman" w:hAnsi="Times New Roman" w:cs="Times New Roman"/>
          <w:color w:val="000000"/>
        </w:rPr>
        <w:t>SEC</w:t>
      </w:r>
      <w:r w:rsidR="007C4C8D" w:rsidRPr="00B533DD">
        <w:rPr>
          <w:rFonts w:ascii="Times New Roman" w:hAnsi="Times New Roman" w:cs="Times New Roman"/>
          <w:color w:val="000000"/>
        </w:rPr>
        <w:t xml:space="preserve"> </w:t>
      </w:r>
      <w:r w:rsidR="00A51C84" w:rsidRPr="00B533DD">
        <w:rPr>
          <w:rFonts w:ascii="Times New Roman" w:hAnsi="Times New Roman" w:cs="Times New Roman"/>
          <w:color w:val="000000"/>
        </w:rPr>
        <w:t xml:space="preserve">MMF regulations </w:t>
      </w:r>
      <w:r w:rsidR="007C4C8D" w:rsidRPr="00B533DD">
        <w:rPr>
          <w:rFonts w:ascii="Times New Roman" w:hAnsi="Times New Roman" w:cs="Times New Roman"/>
          <w:color w:val="000000"/>
        </w:rPr>
        <w:t xml:space="preserve">adopted </w:t>
      </w:r>
      <w:r w:rsidR="00A51C84" w:rsidRPr="00B533DD">
        <w:rPr>
          <w:rFonts w:ascii="Times New Roman" w:hAnsi="Times New Roman" w:cs="Times New Roman"/>
          <w:color w:val="000000"/>
        </w:rPr>
        <w:t>in 201</w:t>
      </w:r>
      <w:r w:rsidR="007C4C8D" w:rsidRPr="00B533DD">
        <w:rPr>
          <w:rFonts w:ascii="Times New Roman" w:hAnsi="Times New Roman" w:cs="Times New Roman"/>
          <w:color w:val="000000"/>
        </w:rPr>
        <w:t>4</w:t>
      </w:r>
      <w:r w:rsidR="00A51C84" w:rsidRPr="00B533DD">
        <w:rPr>
          <w:rFonts w:ascii="Times New Roman" w:hAnsi="Times New Roman" w:cs="Times New Roman"/>
          <w:color w:val="000000"/>
        </w:rPr>
        <w:t>.</w:t>
      </w:r>
      <w:r w:rsidR="00F56003" w:rsidRPr="00B533DD">
        <w:rPr>
          <w:rStyle w:val="FootnoteReference"/>
          <w:rFonts w:ascii="Times New Roman" w:hAnsi="Times New Roman" w:cs="Times New Roman"/>
          <w:color w:val="000000"/>
        </w:rPr>
        <w:footnoteReference w:id="31"/>
      </w:r>
    </w:p>
    <w:p w14:paraId="2C37251D" w14:textId="25F9F752" w:rsidR="00A738E7" w:rsidRDefault="00A738E7" w:rsidP="00C71A8A">
      <w:pPr>
        <w:pStyle w:val="NormalWeb"/>
        <w:rPr>
          <w:rFonts w:ascii="Times New Roman" w:hAnsi="Times New Roman" w:cs="Times New Roman"/>
          <w:color w:val="000000"/>
        </w:rPr>
      </w:pPr>
    </w:p>
    <w:p w14:paraId="0CDCE9E5" w14:textId="66CCB0AD" w:rsidR="00A168A0" w:rsidRDefault="00850EF3" w:rsidP="00C71A8A">
      <w:pPr>
        <w:pStyle w:val="NormalWeb"/>
        <w:rPr>
          <w:rFonts w:ascii="Times New Roman" w:hAnsi="Times New Roman" w:cs="Times New Roman"/>
          <w:color w:val="000000"/>
        </w:rPr>
      </w:pPr>
      <w:r>
        <w:rPr>
          <w:rFonts w:ascii="Times New Roman" w:hAnsi="Times New Roman" w:cs="Times New Roman"/>
          <w:color w:val="000000"/>
        </w:rPr>
        <w:t xml:space="preserve">The four firm-specific </w:t>
      </w:r>
      <w:r w:rsidR="00B01615">
        <w:rPr>
          <w:rFonts w:ascii="Times New Roman" w:hAnsi="Times New Roman" w:cs="Times New Roman"/>
          <w:color w:val="000000"/>
        </w:rPr>
        <w:t xml:space="preserve">Section 113 </w:t>
      </w:r>
      <w:r w:rsidR="00D2685B">
        <w:rPr>
          <w:rFonts w:ascii="Times New Roman" w:hAnsi="Times New Roman" w:cs="Times New Roman"/>
          <w:color w:val="000000"/>
        </w:rPr>
        <w:t>designation</w:t>
      </w:r>
      <w:r w:rsidR="00257CDC">
        <w:rPr>
          <w:rFonts w:ascii="Times New Roman" w:hAnsi="Times New Roman" w:cs="Times New Roman"/>
          <w:color w:val="000000"/>
        </w:rPr>
        <w:t xml:space="preserve"> processe</w:t>
      </w:r>
      <w:r w:rsidR="00D2685B">
        <w:rPr>
          <w:rFonts w:ascii="Times New Roman" w:hAnsi="Times New Roman" w:cs="Times New Roman"/>
          <w:color w:val="000000"/>
        </w:rPr>
        <w:t xml:space="preserve">s </w:t>
      </w:r>
      <w:r w:rsidR="00A03139">
        <w:rPr>
          <w:rFonts w:ascii="Times New Roman" w:hAnsi="Times New Roman" w:cs="Times New Roman"/>
          <w:color w:val="000000"/>
        </w:rPr>
        <w:t>that</w:t>
      </w:r>
      <w:r w:rsidR="00C660AB">
        <w:rPr>
          <w:rFonts w:ascii="Times New Roman" w:hAnsi="Times New Roman" w:cs="Times New Roman"/>
          <w:color w:val="000000"/>
        </w:rPr>
        <w:t xml:space="preserve"> </w:t>
      </w:r>
      <w:r>
        <w:rPr>
          <w:rFonts w:ascii="Times New Roman" w:hAnsi="Times New Roman" w:cs="Times New Roman"/>
          <w:color w:val="000000"/>
        </w:rPr>
        <w:t xml:space="preserve">FSOC </w:t>
      </w:r>
      <w:r w:rsidR="00A03139">
        <w:rPr>
          <w:rFonts w:ascii="Times New Roman" w:hAnsi="Times New Roman" w:cs="Times New Roman"/>
          <w:color w:val="000000"/>
        </w:rPr>
        <w:t xml:space="preserve">did </w:t>
      </w:r>
      <w:r w:rsidR="00257CDC">
        <w:rPr>
          <w:rFonts w:ascii="Times New Roman" w:hAnsi="Times New Roman" w:cs="Times New Roman"/>
          <w:color w:val="000000"/>
        </w:rPr>
        <w:t>successfully</w:t>
      </w:r>
      <w:r w:rsidR="00A03139">
        <w:rPr>
          <w:rFonts w:ascii="Times New Roman" w:hAnsi="Times New Roman" w:cs="Times New Roman"/>
          <w:color w:val="000000"/>
        </w:rPr>
        <w:t xml:space="preserve"> carry out </w:t>
      </w:r>
      <w:r>
        <w:rPr>
          <w:rFonts w:ascii="Times New Roman" w:hAnsi="Times New Roman" w:cs="Times New Roman"/>
          <w:color w:val="000000"/>
        </w:rPr>
        <w:t xml:space="preserve">during the Obama Administration were criticized for </w:t>
      </w:r>
      <w:r w:rsidR="005F3CFA">
        <w:rPr>
          <w:rFonts w:ascii="Times New Roman" w:hAnsi="Times New Roman" w:cs="Times New Roman"/>
          <w:color w:val="000000"/>
        </w:rPr>
        <w:t>analytical brevity and opacity</w:t>
      </w:r>
      <w:r w:rsidR="00F83CE8">
        <w:rPr>
          <w:rFonts w:ascii="Times New Roman" w:hAnsi="Times New Roman" w:cs="Times New Roman"/>
          <w:color w:val="000000"/>
        </w:rPr>
        <w:t xml:space="preserve">, </w:t>
      </w:r>
      <w:r w:rsidR="00A868AE">
        <w:rPr>
          <w:rFonts w:ascii="Times New Roman" w:hAnsi="Times New Roman" w:cs="Times New Roman"/>
          <w:color w:val="000000"/>
        </w:rPr>
        <w:t>in part because</w:t>
      </w:r>
      <w:r w:rsidR="0062484A">
        <w:rPr>
          <w:rFonts w:ascii="Times New Roman" w:hAnsi="Times New Roman" w:cs="Times New Roman"/>
          <w:color w:val="000000"/>
        </w:rPr>
        <w:t xml:space="preserve"> </w:t>
      </w:r>
      <w:r w:rsidR="00F83CE8">
        <w:rPr>
          <w:rFonts w:ascii="Times New Roman" w:hAnsi="Times New Roman" w:cs="Times New Roman"/>
          <w:color w:val="000000"/>
        </w:rPr>
        <w:t xml:space="preserve">the process was viewed by many </w:t>
      </w:r>
      <w:r w:rsidR="0062484A">
        <w:rPr>
          <w:rFonts w:ascii="Times New Roman" w:hAnsi="Times New Roman" w:cs="Times New Roman"/>
          <w:color w:val="000000"/>
        </w:rPr>
        <w:t xml:space="preserve">as </w:t>
      </w:r>
      <w:r w:rsidR="00497EE3">
        <w:rPr>
          <w:rFonts w:ascii="Times New Roman" w:hAnsi="Times New Roman" w:cs="Times New Roman"/>
          <w:color w:val="000000"/>
        </w:rPr>
        <w:t>working towards a</w:t>
      </w:r>
      <w:r w:rsidR="0062484A">
        <w:rPr>
          <w:rFonts w:ascii="Times New Roman" w:hAnsi="Times New Roman" w:cs="Times New Roman"/>
          <w:color w:val="000000"/>
        </w:rPr>
        <w:t xml:space="preserve"> </w:t>
      </w:r>
      <w:r w:rsidR="00683A9F">
        <w:rPr>
          <w:rFonts w:ascii="Times New Roman" w:hAnsi="Times New Roman" w:cs="Times New Roman"/>
          <w:color w:val="000000"/>
        </w:rPr>
        <w:t xml:space="preserve">pre-determined outcome due </w:t>
      </w:r>
      <w:r w:rsidR="00806056">
        <w:rPr>
          <w:rFonts w:ascii="Times New Roman" w:hAnsi="Times New Roman" w:cs="Times New Roman"/>
          <w:color w:val="000000"/>
        </w:rPr>
        <w:t>to</w:t>
      </w:r>
      <w:r w:rsidR="00683A9F">
        <w:rPr>
          <w:rFonts w:ascii="Times New Roman" w:hAnsi="Times New Roman" w:cs="Times New Roman"/>
          <w:color w:val="000000"/>
        </w:rPr>
        <w:t xml:space="preserve"> </w:t>
      </w:r>
      <w:r w:rsidR="00497EE3">
        <w:rPr>
          <w:rFonts w:ascii="Times New Roman" w:hAnsi="Times New Roman" w:cs="Times New Roman"/>
          <w:color w:val="000000"/>
        </w:rPr>
        <w:t xml:space="preserve">a </w:t>
      </w:r>
      <w:r w:rsidR="00683A9F">
        <w:rPr>
          <w:rFonts w:ascii="Times New Roman" w:hAnsi="Times New Roman" w:cs="Times New Roman"/>
          <w:color w:val="000000"/>
        </w:rPr>
        <w:t xml:space="preserve">global </w:t>
      </w:r>
      <w:r w:rsidR="00385965">
        <w:rPr>
          <w:rFonts w:ascii="Times New Roman" w:hAnsi="Times New Roman" w:cs="Times New Roman"/>
          <w:color w:val="000000"/>
        </w:rPr>
        <w:t>group of regulators</w:t>
      </w:r>
      <w:r w:rsidR="00683A9F">
        <w:rPr>
          <w:rFonts w:ascii="Times New Roman" w:hAnsi="Times New Roman" w:cs="Times New Roman"/>
          <w:color w:val="000000"/>
        </w:rPr>
        <w:t xml:space="preserve"> called the Financial Stability Board (“FSB”) </w:t>
      </w:r>
      <w:r w:rsidR="009E04E0">
        <w:rPr>
          <w:rFonts w:ascii="Times New Roman" w:hAnsi="Times New Roman" w:cs="Times New Roman"/>
          <w:color w:val="000000"/>
        </w:rPr>
        <w:t>– discussed in greater depth below –</w:t>
      </w:r>
      <w:r w:rsidR="00BD7ECB">
        <w:rPr>
          <w:rFonts w:ascii="Times New Roman" w:hAnsi="Times New Roman" w:cs="Times New Roman"/>
          <w:color w:val="000000"/>
        </w:rPr>
        <w:t xml:space="preserve"> </w:t>
      </w:r>
      <w:r w:rsidR="009E04E0">
        <w:rPr>
          <w:rFonts w:ascii="Times New Roman" w:hAnsi="Times New Roman" w:cs="Times New Roman"/>
          <w:color w:val="000000"/>
        </w:rPr>
        <w:t>label</w:t>
      </w:r>
      <w:r w:rsidR="00BD7ECB">
        <w:rPr>
          <w:rFonts w:ascii="Times New Roman" w:hAnsi="Times New Roman" w:cs="Times New Roman"/>
          <w:color w:val="000000"/>
        </w:rPr>
        <w:t xml:space="preserve">ing </w:t>
      </w:r>
      <w:r w:rsidR="00B377FF">
        <w:rPr>
          <w:rFonts w:ascii="Times New Roman" w:hAnsi="Times New Roman" w:cs="Times New Roman"/>
          <w:color w:val="000000"/>
        </w:rPr>
        <w:t>MetLife, AIG, and Prudential</w:t>
      </w:r>
      <w:r w:rsidR="00F64A0B">
        <w:rPr>
          <w:rFonts w:ascii="Times New Roman" w:hAnsi="Times New Roman" w:cs="Times New Roman"/>
          <w:color w:val="000000"/>
        </w:rPr>
        <w:t xml:space="preserve"> </w:t>
      </w:r>
      <w:r w:rsidR="00497EE3">
        <w:rPr>
          <w:rFonts w:ascii="Times New Roman" w:hAnsi="Times New Roman" w:cs="Times New Roman"/>
          <w:color w:val="000000"/>
        </w:rPr>
        <w:t xml:space="preserve">as </w:t>
      </w:r>
      <w:r w:rsidR="00866400">
        <w:rPr>
          <w:rFonts w:ascii="Times New Roman" w:hAnsi="Times New Roman" w:cs="Times New Roman"/>
          <w:color w:val="000000"/>
        </w:rPr>
        <w:t>“</w:t>
      </w:r>
      <w:r w:rsidR="00497EE3">
        <w:rPr>
          <w:rFonts w:ascii="Times New Roman" w:hAnsi="Times New Roman" w:cs="Times New Roman"/>
          <w:color w:val="000000"/>
        </w:rPr>
        <w:t>systemically important</w:t>
      </w:r>
      <w:r w:rsidR="00866400">
        <w:rPr>
          <w:rFonts w:ascii="Times New Roman" w:hAnsi="Times New Roman" w:cs="Times New Roman"/>
          <w:color w:val="000000"/>
        </w:rPr>
        <w:t>” months before FSOC did so similarly</w:t>
      </w:r>
      <w:r w:rsidR="005F3CFA">
        <w:rPr>
          <w:rFonts w:ascii="Times New Roman" w:hAnsi="Times New Roman" w:cs="Times New Roman"/>
          <w:color w:val="000000"/>
        </w:rPr>
        <w:t>.</w:t>
      </w:r>
      <w:r w:rsidR="00C76C68">
        <w:rPr>
          <w:rStyle w:val="FootnoteReference"/>
          <w:rFonts w:ascii="Times New Roman" w:hAnsi="Times New Roman" w:cs="Times New Roman"/>
          <w:color w:val="000000"/>
        </w:rPr>
        <w:footnoteReference w:id="32"/>
      </w:r>
      <w:r w:rsidR="00500BEC">
        <w:rPr>
          <w:rFonts w:ascii="Times New Roman" w:hAnsi="Times New Roman" w:cs="Times New Roman"/>
          <w:color w:val="000000"/>
        </w:rPr>
        <w:t xml:space="preserve"> </w:t>
      </w:r>
      <w:r w:rsidR="00DB1B95">
        <w:rPr>
          <w:rFonts w:ascii="Times New Roman" w:hAnsi="Times New Roman" w:cs="Times New Roman"/>
          <w:color w:val="000000"/>
        </w:rPr>
        <w:t>Indeed, t</w:t>
      </w:r>
      <w:r w:rsidR="005F3CFA">
        <w:rPr>
          <w:rFonts w:ascii="Times New Roman" w:hAnsi="Times New Roman" w:cs="Times New Roman"/>
          <w:color w:val="000000"/>
        </w:rPr>
        <w:t xml:space="preserve">he designations </w:t>
      </w:r>
      <w:r w:rsidR="00F35A23">
        <w:rPr>
          <w:rFonts w:ascii="Times New Roman" w:hAnsi="Times New Roman" w:cs="Times New Roman"/>
          <w:color w:val="000000"/>
        </w:rPr>
        <w:t xml:space="preserve">of </w:t>
      </w:r>
      <w:r w:rsidR="00C660AB">
        <w:rPr>
          <w:rFonts w:ascii="Times New Roman" w:hAnsi="Times New Roman" w:cs="Times New Roman"/>
          <w:color w:val="000000"/>
        </w:rPr>
        <w:t xml:space="preserve">AIG, Prudential, and GECC </w:t>
      </w:r>
      <w:r w:rsidR="00D2685B">
        <w:rPr>
          <w:rFonts w:ascii="Times New Roman" w:hAnsi="Times New Roman" w:cs="Times New Roman"/>
          <w:color w:val="000000"/>
        </w:rPr>
        <w:t xml:space="preserve">were accompanied by </w:t>
      </w:r>
      <w:r w:rsidR="00204F2A">
        <w:rPr>
          <w:rFonts w:ascii="Times New Roman" w:hAnsi="Times New Roman" w:cs="Times New Roman"/>
          <w:color w:val="000000"/>
        </w:rPr>
        <w:t>perfunctory</w:t>
      </w:r>
      <w:r w:rsidR="00D2685B">
        <w:rPr>
          <w:rFonts w:ascii="Times New Roman" w:hAnsi="Times New Roman" w:cs="Times New Roman"/>
          <w:color w:val="000000"/>
        </w:rPr>
        <w:t xml:space="preserve"> reports of just </w:t>
      </w:r>
      <w:r w:rsidR="00655080">
        <w:rPr>
          <w:rFonts w:ascii="Times New Roman" w:hAnsi="Times New Roman" w:cs="Times New Roman"/>
          <w:color w:val="000000"/>
        </w:rPr>
        <w:t>twelve</w:t>
      </w:r>
      <w:r w:rsidR="00D2685B">
        <w:rPr>
          <w:rFonts w:ascii="Times New Roman" w:hAnsi="Times New Roman" w:cs="Times New Roman"/>
          <w:color w:val="000000"/>
        </w:rPr>
        <w:t xml:space="preserve"> to </w:t>
      </w:r>
      <w:r w:rsidR="00655080">
        <w:rPr>
          <w:rFonts w:ascii="Times New Roman" w:hAnsi="Times New Roman" w:cs="Times New Roman"/>
          <w:color w:val="000000"/>
        </w:rPr>
        <w:t xml:space="preserve">fourteen </w:t>
      </w:r>
      <w:r w:rsidR="00D2685B">
        <w:rPr>
          <w:rFonts w:ascii="Times New Roman" w:hAnsi="Times New Roman" w:cs="Times New Roman"/>
          <w:color w:val="000000"/>
        </w:rPr>
        <w:t>pages.</w:t>
      </w:r>
      <w:r w:rsidR="00B2552A">
        <w:rPr>
          <w:rFonts w:ascii="Times New Roman" w:hAnsi="Times New Roman" w:cs="Times New Roman"/>
          <w:color w:val="000000"/>
        </w:rPr>
        <w:t xml:space="preserve"> </w:t>
      </w:r>
      <w:r w:rsidR="00D46BA3">
        <w:rPr>
          <w:rFonts w:ascii="Times New Roman" w:hAnsi="Times New Roman" w:cs="Times New Roman"/>
          <w:color w:val="000000"/>
        </w:rPr>
        <w:t xml:space="preserve">MetLife’s </w:t>
      </w:r>
      <w:r w:rsidR="0028109C">
        <w:rPr>
          <w:rFonts w:ascii="Times New Roman" w:hAnsi="Times New Roman" w:cs="Times New Roman"/>
          <w:color w:val="000000"/>
        </w:rPr>
        <w:t xml:space="preserve">designation report </w:t>
      </w:r>
      <w:r w:rsidR="00D46BA3">
        <w:rPr>
          <w:rFonts w:ascii="Times New Roman" w:hAnsi="Times New Roman" w:cs="Times New Roman"/>
          <w:color w:val="000000"/>
        </w:rPr>
        <w:t xml:space="preserve">was </w:t>
      </w:r>
      <w:r w:rsidR="00F35A23">
        <w:rPr>
          <w:rFonts w:ascii="Times New Roman" w:hAnsi="Times New Roman" w:cs="Times New Roman"/>
          <w:color w:val="000000"/>
        </w:rPr>
        <w:t xml:space="preserve">somewhat </w:t>
      </w:r>
      <w:r w:rsidR="00D46BA3">
        <w:rPr>
          <w:rFonts w:ascii="Times New Roman" w:hAnsi="Times New Roman" w:cs="Times New Roman"/>
          <w:color w:val="000000"/>
        </w:rPr>
        <w:t>longer</w:t>
      </w:r>
      <w:r w:rsidR="00F35A23">
        <w:rPr>
          <w:rFonts w:ascii="Times New Roman" w:hAnsi="Times New Roman" w:cs="Times New Roman"/>
          <w:color w:val="000000"/>
        </w:rPr>
        <w:t>,</w:t>
      </w:r>
      <w:r w:rsidR="0009106E">
        <w:rPr>
          <w:rFonts w:ascii="Times New Roman" w:hAnsi="Times New Roman" w:cs="Times New Roman"/>
          <w:color w:val="000000"/>
        </w:rPr>
        <w:t xml:space="preserve"> </w:t>
      </w:r>
      <w:r w:rsidR="00F35A23">
        <w:rPr>
          <w:rFonts w:ascii="Times New Roman" w:hAnsi="Times New Roman" w:cs="Times New Roman"/>
          <w:color w:val="000000"/>
        </w:rPr>
        <w:t>but</w:t>
      </w:r>
      <w:r w:rsidR="008504AB">
        <w:rPr>
          <w:rFonts w:ascii="Times New Roman" w:hAnsi="Times New Roman" w:cs="Times New Roman"/>
          <w:color w:val="000000"/>
        </w:rPr>
        <w:t xml:space="preserve"> </w:t>
      </w:r>
      <w:r w:rsidR="005954E6">
        <w:rPr>
          <w:rFonts w:ascii="Times New Roman" w:hAnsi="Times New Roman" w:cs="Times New Roman"/>
          <w:color w:val="000000"/>
        </w:rPr>
        <w:t xml:space="preserve">FSOC’s </w:t>
      </w:r>
      <w:r w:rsidR="00F35A23">
        <w:rPr>
          <w:rFonts w:ascii="Times New Roman" w:hAnsi="Times New Roman" w:cs="Times New Roman"/>
          <w:color w:val="000000"/>
        </w:rPr>
        <w:t xml:space="preserve">own </w:t>
      </w:r>
      <w:r w:rsidR="005954E6">
        <w:rPr>
          <w:rFonts w:ascii="Times New Roman" w:hAnsi="Times New Roman" w:cs="Times New Roman"/>
          <w:color w:val="000000"/>
        </w:rPr>
        <w:t xml:space="preserve">Independent Insurance Member voted against both </w:t>
      </w:r>
      <w:r w:rsidR="00FE695A">
        <w:rPr>
          <w:rFonts w:ascii="Times New Roman" w:hAnsi="Times New Roman" w:cs="Times New Roman"/>
          <w:color w:val="000000"/>
        </w:rPr>
        <w:t xml:space="preserve">the MetLife and the </w:t>
      </w:r>
      <w:r w:rsidR="005954E6">
        <w:rPr>
          <w:rFonts w:ascii="Times New Roman" w:hAnsi="Times New Roman" w:cs="Times New Roman"/>
          <w:color w:val="000000"/>
        </w:rPr>
        <w:t>Prudential designations on the grounds that the reports utilized unrealistic scenarios and assumptions.</w:t>
      </w:r>
      <w:r w:rsidR="005954E6">
        <w:rPr>
          <w:rStyle w:val="FootnoteReference"/>
          <w:rFonts w:ascii="Times New Roman" w:hAnsi="Times New Roman" w:cs="Times New Roman"/>
          <w:color w:val="000000"/>
        </w:rPr>
        <w:footnoteReference w:id="33"/>
      </w:r>
      <w:r w:rsidR="008504AB" w:rsidRPr="008504AB">
        <w:rPr>
          <w:rFonts w:ascii="Times New Roman" w:hAnsi="Times New Roman" w:cs="Times New Roman"/>
          <w:color w:val="000000"/>
        </w:rPr>
        <w:t xml:space="preserve"> </w:t>
      </w:r>
      <w:r w:rsidR="008504AB">
        <w:rPr>
          <w:rFonts w:ascii="Times New Roman" w:hAnsi="Times New Roman" w:cs="Times New Roman"/>
          <w:color w:val="000000"/>
        </w:rPr>
        <w:t>None of the designation reports considered the costs of designation</w:t>
      </w:r>
      <w:r w:rsidR="007D6A68">
        <w:rPr>
          <w:rFonts w:ascii="Times New Roman" w:hAnsi="Times New Roman" w:cs="Times New Roman"/>
          <w:color w:val="000000"/>
        </w:rPr>
        <w:t>.</w:t>
      </w:r>
    </w:p>
    <w:p w14:paraId="7F78A936" w14:textId="77777777" w:rsidR="00A168A0" w:rsidRDefault="00A168A0" w:rsidP="00C71A8A">
      <w:pPr>
        <w:pStyle w:val="NormalWeb"/>
        <w:rPr>
          <w:rFonts w:ascii="Times New Roman" w:hAnsi="Times New Roman" w:cs="Times New Roman"/>
          <w:color w:val="000000"/>
        </w:rPr>
      </w:pPr>
    </w:p>
    <w:p w14:paraId="1F1B2010" w14:textId="42905AF2" w:rsidR="004954A7" w:rsidRPr="004954A7" w:rsidRDefault="004954A7" w:rsidP="00C71A8A">
      <w:pPr>
        <w:pStyle w:val="NormalWeb"/>
        <w:rPr>
          <w:rFonts w:ascii="Times New Roman" w:hAnsi="Times New Roman" w:cs="Times New Roman"/>
          <w:b/>
          <w:bCs/>
          <w:i/>
          <w:iCs/>
          <w:color w:val="2F5496" w:themeColor="accent1" w:themeShade="BF"/>
        </w:rPr>
      </w:pPr>
      <w:r w:rsidRPr="00BB0FBB">
        <w:rPr>
          <w:rFonts w:ascii="Times New Roman" w:hAnsi="Times New Roman" w:cs="Times New Roman"/>
          <w:b/>
          <w:bCs/>
          <w:color w:val="2F5496" w:themeColor="accent1" w:themeShade="BF"/>
        </w:rPr>
        <w:tab/>
      </w:r>
      <w:r w:rsidR="000F0DAE">
        <w:rPr>
          <w:rFonts w:ascii="Times New Roman" w:hAnsi="Times New Roman" w:cs="Times New Roman"/>
          <w:b/>
          <w:bCs/>
          <w:color w:val="2F5496" w:themeColor="accent1" w:themeShade="BF"/>
        </w:rPr>
        <w:t>B</w:t>
      </w:r>
      <w:r w:rsidRPr="00BB0FBB">
        <w:rPr>
          <w:rFonts w:ascii="Times New Roman" w:hAnsi="Times New Roman" w:cs="Times New Roman"/>
          <w:b/>
          <w:bCs/>
          <w:color w:val="2F5496" w:themeColor="accent1" w:themeShade="BF"/>
        </w:rPr>
        <w:t xml:space="preserve">) </w:t>
      </w:r>
      <w:r w:rsidR="000F0DAE">
        <w:rPr>
          <w:rFonts w:ascii="Times New Roman" w:hAnsi="Times New Roman" w:cs="Times New Roman"/>
          <w:b/>
          <w:bCs/>
          <w:i/>
          <w:iCs/>
          <w:color w:val="2F5496" w:themeColor="accent1" w:themeShade="BF"/>
        </w:rPr>
        <w:t xml:space="preserve">The </w:t>
      </w:r>
      <w:r w:rsidR="001265A7">
        <w:rPr>
          <w:rFonts w:ascii="Times New Roman" w:hAnsi="Times New Roman" w:cs="Times New Roman"/>
          <w:b/>
          <w:bCs/>
          <w:i/>
          <w:iCs/>
          <w:color w:val="2F5496" w:themeColor="accent1" w:themeShade="BF"/>
        </w:rPr>
        <w:t>aftermath</w:t>
      </w:r>
      <w:r w:rsidR="007F624A">
        <w:rPr>
          <w:rFonts w:ascii="Times New Roman" w:hAnsi="Times New Roman" w:cs="Times New Roman"/>
          <w:b/>
          <w:bCs/>
          <w:i/>
          <w:iCs/>
          <w:color w:val="2F5496" w:themeColor="accent1" w:themeShade="BF"/>
        </w:rPr>
        <w:t xml:space="preserve"> </w:t>
      </w:r>
      <w:r w:rsidR="000F0DAE">
        <w:rPr>
          <w:rFonts w:ascii="Times New Roman" w:hAnsi="Times New Roman" w:cs="Times New Roman"/>
          <w:b/>
          <w:bCs/>
          <w:i/>
          <w:iCs/>
          <w:color w:val="2F5496" w:themeColor="accent1" w:themeShade="BF"/>
        </w:rPr>
        <w:t xml:space="preserve">of </w:t>
      </w:r>
      <w:r>
        <w:rPr>
          <w:rFonts w:ascii="Times New Roman" w:hAnsi="Times New Roman" w:cs="Times New Roman"/>
          <w:b/>
          <w:bCs/>
          <w:i/>
          <w:iCs/>
          <w:color w:val="2F5496" w:themeColor="accent1" w:themeShade="BF"/>
        </w:rPr>
        <w:t>O</w:t>
      </w:r>
      <w:r w:rsidRPr="00F50F41">
        <w:rPr>
          <w:rFonts w:ascii="Times New Roman" w:hAnsi="Times New Roman" w:cs="Times New Roman"/>
          <w:b/>
          <w:bCs/>
          <w:i/>
          <w:iCs/>
          <w:color w:val="2F5496" w:themeColor="accent1" w:themeShade="BF"/>
        </w:rPr>
        <w:t>bama</w:t>
      </w:r>
      <w:r>
        <w:rPr>
          <w:rFonts w:ascii="Times New Roman" w:hAnsi="Times New Roman" w:cs="Times New Roman"/>
          <w:b/>
          <w:bCs/>
          <w:color w:val="2F5496" w:themeColor="accent1" w:themeShade="BF"/>
        </w:rPr>
        <w:t xml:space="preserve"> </w:t>
      </w:r>
      <w:r>
        <w:rPr>
          <w:rFonts w:ascii="Times New Roman" w:hAnsi="Times New Roman" w:cs="Times New Roman"/>
          <w:b/>
          <w:bCs/>
          <w:i/>
          <w:iCs/>
          <w:color w:val="2F5496" w:themeColor="accent1" w:themeShade="BF"/>
        </w:rPr>
        <w:t xml:space="preserve">Administration </w:t>
      </w:r>
      <w:r w:rsidR="007F624A">
        <w:rPr>
          <w:rFonts w:ascii="Times New Roman" w:hAnsi="Times New Roman" w:cs="Times New Roman"/>
          <w:b/>
          <w:bCs/>
          <w:i/>
          <w:iCs/>
          <w:color w:val="2F5496" w:themeColor="accent1" w:themeShade="BF"/>
        </w:rPr>
        <w:t xml:space="preserve">Section 113 </w:t>
      </w:r>
      <w:r w:rsidRPr="00BB0FBB">
        <w:rPr>
          <w:rFonts w:ascii="Times New Roman" w:hAnsi="Times New Roman" w:cs="Times New Roman"/>
          <w:b/>
          <w:bCs/>
          <w:i/>
          <w:iCs/>
          <w:color w:val="2F5496" w:themeColor="accent1" w:themeShade="BF"/>
        </w:rPr>
        <w:t xml:space="preserve">designations </w:t>
      </w:r>
    </w:p>
    <w:p w14:paraId="035259BC" w14:textId="77777777" w:rsidR="004954A7" w:rsidRDefault="004954A7" w:rsidP="00C71A8A">
      <w:pPr>
        <w:pStyle w:val="NormalWeb"/>
        <w:rPr>
          <w:rFonts w:ascii="Times New Roman" w:hAnsi="Times New Roman" w:cs="Times New Roman"/>
          <w:color w:val="000000"/>
        </w:rPr>
      </w:pPr>
    </w:p>
    <w:p w14:paraId="2522843E" w14:textId="2C33D902" w:rsidR="00762F18" w:rsidRDefault="005F3CFA" w:rsidP="00C71A8A">
      <w:pPr>
        <w:pStyle w:val="NormalWeb"/>
        <w:rPr>
          <w:rFonts w:ascii="Times New Roman" w:hAnsi="Times New Roman" w:cs="Times New Roman"/>
          <w:color w:val="000000"/>
        </w:rPr>
      </w:pPr>
      <w:r>
        <w:rPr>
          <w:rFonts w:ascii="Times New Roman" w:hAnsi="Times New Roman" w:cs="Times New Roman"/>
          <w:color w:val="000000"/>
        </w:rPr>
        <w:t>Ultimately, t</w:t>
      </w:r>
      <w:r w:rsidR="00A168A0">
        <w:rPr>
          <w:rFonts w:ascii="Times New Roman" w:hAnsi="Times New Roman" w:cs="Times New Roman"/>
          <w:color w:val="000000"/>
        </w:rPr>
        <w:t xml:space="preserve">he costs were very significant. The </w:t>
      </w:r>
      <w:r w:rsidR="00C22B6C">
        <w:rPr>
          <w:rFonts w:ascii="Times New Roman" w:hAnsi="Times New Roman" w:cs="Times New Roman"/>
          <w:color w:val="000000"/>
        </w:rPr>
        <w:t>GECC</w:t>
      </w:r>
      <w:r w:rsidR="00C22B6C" w:rsidRPr="00415489">
        <w:rPr>
          <w:rFonts w:ascii="Times New Roman" w:hAnsi="Times New Roman" w:cs="Times New Roman"/>
          <w:color w:val="000000"/>
        </w:rPr>
        <w:t xml:space="preserve"> </w:t>
      </w:r>
      <w:r w:rsidR="00C22B6C">
        <w:rPr>
          <w:rFonts w:ascii="Times New Roman" w:hAnsi="Times New Roman" w:cs="Times New Roman"/>
          <w:color w:val="000000"/>
        </w:rPr>
        <w:t xml:space="preserve">designation effectively </w:t>
      </w:r>
      <w:r w:rsidR="00681073">
        <w:rPr>
          <w:rFonts w:ascii="Times New Roman" w:hAnsi="Times New Roman" w:cs="Times New Roman"/>
          <w:color w:val="000000"/>
        </w:rPr>
        <w:t xml:space="preserve">resulted in the </w:t>
      </w:r>
      <w:r w:rsidR="002933C6">
        <w:rPr>
          <w:rFonts w:ascii="Times New Roman" w:hAnsi="Times New Roman" w:cs="Times New Roman"/>
          <w:color w:val="000000"/>
        </w:rPr>
        <w:t>eliminat</w:t>
      </w:r>
      <w:r w:rsidR="00681073">
        <w:rPr>
          <w:rFonts w:ascii="Times New Roman" w:hAnsi="Times New Roman" w:cs="Times New Roman"/>
          <w:color w:val="000000"/>
        </w:rPr>
        <w:t>ion</w:t>
      </w:r>
      <w:r w:rsidR="00E2196F">
        <w:rPr>
          <w:rFonts w:ascii="Times New Roman" w:hAnsi="Times New Roman" w:cs="Times New Roman"/>
          <w:color w:val="000000"/>
        </w:rPr>
        <w:t xml:space="preserve"> of</w:t>
      </w:r>
      <w:r w:rsidR="00C22B6C">
        <w:rPr>
          <w:rFonts w:ascii="Times New Roman" w:hAnsi="Times New Roman" w:cs="Times New Roman"/>
          <w:color w:val="000000"/>
        </w:rPr>
        <w:t xml:space="preserve"> </w:t>
      </w:r>
      <w:r w:rsidR="002933C6">
        <w:rPr>
          <w:rFonts w:ascii="Times New Roman" w:hAnsi="Times New Roman" w:cs="Times New Roman"/>
          <w:color w:val="000000"/>
        </w:rPr>
        <w:t xml:space="preserve">many of </w:t>
      </w:r>
      <w:r w:rsidR="00C22B6C">
        <w:rPr>
          <w:rFonts w:ascii="Times New Roman" w:hAnsi="Times New Roman" w:cs="Times New Roman"/>
          <w:color w:val="000000"/>
        </w:rPr>
        <w:t xml:space="preserve">GECC’s business </w:t>
      </w:r>
      <w:r w:rsidR="002933C6">
        <w:rPr>
          <w:rFonts w:ascii="Times New Roman" w:hAnsi="Times New Roman" w:cs="Times New Roman"/>
          <w:color w:val="000000"/>
        </w:rPr>
        <w:t xml:space="preserve">lines and </w:t>
      </w:r>
      <w:r w:rsidR="00BB391B">
        <w:rPr>
          <w:rFonts w:ascii="Times New Roman" w:hAnsi="Times New Roman" w:cs="Times New Roman"/>
          <w:color w:val="000000"/>
        </w:rPr>
        <w:t xml:space="preserve">reportedly </w:t>
      </w:r>
      <w:r w:rsidR="002933C6">
        <w:rPr>
          <w:rFonts w:ascii="Times New Roman" w:hAnsi="Times New Roman" w:cs="Times New Roman"/>
          <w:color w:val="000000"/>
        </w:rPr>
        <w:t>drove its asset size to decrease by 50 percent</w:t>
      </w:r>
      <w:r w:rsidR="00C22B6C">
        <w:rPr>
          <w:rFonts w:ascii="Times New Roman" w:hAnsi="Times New Roman" w:cs="Times New Roman"/>
          <w:color w:val="000000"/>
        </w:rPr>
        <w:t>.</w:t>
      </w:r>
      <w:r w:rsidR="009B284F">
        <w:rPr>
          <w:rStyle w:val="FootnoteReference"/>
          <w:rFonts w:ascii="Times New Roman" w:hAnsi="Times New Roman" w:cs="Times New Roman"/>
          <w:color w:val="000000"/>
        </w:rPr>
        <w:footnoteReference w:id="34"/>
      </w:r>
      <w:r w:rsidR="00762F18">
        <w:rPr>
          <w:rFonts w:ascii="Times New Roman" w:hAnsi="Times New Roman" w:cs="Times New Roman"/>
          <w:color w:val="000000"/>
        </w:rPr>
        <w:t xml:space="preserve"> </w:t>
      </w:r>
      <w:r w:rsidR="00C22B6C">
        <w:rPr>
          <w:rFonts w:ascii="Times New Roman" w:hAnsi="Times New Roman" w:cs="Times New Roman"/>
          <w:color w:val="000000"/>
        </w:rPr>
        <w:t xml:space="preserve">The Obama Administration rescinded its designation in 2016, noting that GECC engaged in a series of divestitures, a corporate reorganization, and a </w:t>
      </w:r>
      <w:r w:rsidR="00813D1D">
        <w:rPr>
          <w:rFonts w:ascii="Times New Roman" w:hAnsi="Times New Roman" w:cs="Times New Roman"/>
          <w:color w:val="000000"/>
        </w:rPr>
        <w:t>transformation</w:t>
      </w:r>
      <w:r w:rsidR="00C22B6C">
        <w:rPr>
          <w:rFonts w:ascii="Times New Roman" w:hAnsi="Times New Roman" w:cs="Times New Roman"/>
          <w:color w:val="000000"/>
        </w:rPr>
        <w:t xml:space="preserve"> of its funding model.</w:t>
      </w:r>
      <w:r w:rsidR="00993F94">
        <w:rPr>
          <w:rStyle w:val="FootnoteReference"/>
          <w:rFonts w:ascii="Times New Roman" w:hAnsi="Times New Roman" w:cs="Times New Roman"/>
          <w:color w:val="000000"/>
        </w:rPr>
        <w:footnoteReference w:id="35"/>
      </w:r>
      <w:r w:rsidR="00C22B6C">
        <w:rPr>
          <w:rFonts w:ascii="Times New Roman" w:hAnsi="Times New Roman" w:cs="Times New Roman"/>
          <w:color w:val="000000"/>
        </w:rPr>
        <w:t xml:space="preserve"> Then during</w:t>
      </w:r>
      <w:r w:rsidR="00A168A0">
        <w:rPr>
          <w:rFonts w:ascii="Times New Roman" w:hAnsi="Times New Roman" w:cs="Times New Roman"/>
          <w:color w:val="000000"/>
        </w:rPr>
        <w:t xml:space="preserve"> </w:t>
      </w:r>
      <w:r w:rsidR="00C22B6C">
        <w:rPr>
          <w:rFonts w:ascii="Times New Roman" w:hAnsi="Times New Roman" w:cs="Times New Roman"/>
          <w:color w:val="000000"/>
        </w:rPr>
        <w:t>the Trump Administration, AIG’s and Prudential’s designations were rescinded</w:t>
      </w:r>
      <w:r w:rsidR="00AF3BAD">
        <w:rPr>
          <w:rFonts w:ascii="Times New Roman" w:hAnsi="Times New Roman" w:cs="Times New Roman"/>
          <w:color w:val="000000"/>
        </w:rPr>
        <w:t xml:space="preserve"> as part of the annual re</w:t>
      </w:r>
      <w:r w:rsidR="00232CE8">
        <w:rPr>
          <w:rFonts w:ascii="Times New Roman" w:hAnsi="Times New Roman" w:cs="Times New Roman"/>
          <w:color w:val="000000"/>
        </w:rPr>
        <w:t>-</w:t>
      </w:r>
      <w:r w:rsidR="00AF3BAD">
        <w:rPr>
          <w:rFonts w:ascii="Times New Roman" w:hAnsi="Times New Roman" w:cs="Times New Roman"/>
          <w:color w:val="000000"/>
        </w:rPr>
        <w:t>evaluation process</w:t>
      </w:r>
      <w:r w:rsidR="00C22B6C">
        <w:rPr>
          <w:rFonts w:ascii="Times New Roman" w:hAnsi="Times New Roman" w:cs="Times New Roman"/>
          <w:color w:val="000000"/>
        </w:rPr>
        <w:t xml:space="preserve"> – </w:t>
      </w:r>
      <w:r w:rsidR="00B75113">
        <w:rPr>
          <w:rFonts w:ascii="Times New Roman" w:hAnsi="Times New Roman" w:cs="Times New Roman"/>
          <w:color w:val="000000"/>
        </w:rPr>
        <w:t xml:space="preserve">each of the </w:t>
      </w:r>
      <w:r w:rsidR="004D2FD4">
        <w:rPr>
          <w:rFonts w:ascii="Times New Roman" w:hAnsi="Times New Roman" w:cs="Times New Roman"/>
          <w:color w:val="000000"/>
        </w:rPr>
        <w:t xml:space="preserve">respective </w:t>
      </w:r>
      <w:r w:rsidR="00B75113">
        <w:rPr>
          <w:rFonts w:ascii="Times New Roman" w:hAnsi="Times New Roman" w:cs="Times New Roman"/>
          <w:color w:val="000000"/>
        </w:rPr>
        <w:t xml:space="preserve">recission reports </w:t>
      </w:r>
      <w:r w:rsidR="00535E20">
        <w:rPr>
          <w:rFonts w:ascii="Times New Roman" w:hAnsi="Times New Roman" w:cs="Times New Roman"/>
          <w:color w:val="000000"/>
        </w:rPr>
        <w:t xml:space="preserve">detailed </w:t>
      </w:r>
      <w:r w:rsidR="004D2FD4">
        <w:rPr>
          <w:rFonts w:ascii="Times New Roman" w:hAnsi="Times New Roman" w:cs="Times New Roman"/>
          <w:color w:val="000000"/>
        </w:rPr>
        <w:t>how these firms</w:t>
      </w:r>
      <w:r w:rsidR="00535E20">
        <w:rPr>
          <w:rFonts w:ascii="Times New Roman" w:hAnsi="Times New Roman" w:cs="Times New Roman"/>
          <w:color w:val="000000"/>
        </w:rPr>
        <w:t xml:space="preserve"> sold off businesses</w:t>
      </w:r>
      <w:r w:rsidR="003D0F34">
        <w:rPr>
          <w:rFonts w:ascii="Times New Roman" w:hAnsi="Times New Roman" w:cs="Times New Roman"/>
          <w:color w:val="000000"/>
        </w:rPr>
        <w:t xml:space="preserve">, </w:t>
      </w:r>
      <w:r w:rsidR="004D2FD4">
        <w:rPr>
          <w:rFonts w:ascii="Times New Roman" w:hAnsi="Times New Roman" w:cs="Times New Roman"/>
          <w:color w:val="000000"/>
        </w:rPr>
        <w:t xml:space="preserve">restructured operations, </w:t>
      </w:r>
      <w:r w:rsidR="0021164E">
        <w:rPr>
          <w:rFonts w:ascii="Times New Roman" w:hAnsi="Times New Roman" w:cs="Times New Roman"/>
          <w:color w:val="000000"/>
        </w:rPr>
        <w:t xml:space="preserve">exited certain markets, </w:t>
      </w:r>
      <w:r w:rsidR="00535E20">
        <w:rPr>
          <w:rFonts w:ascii="Times New Roman" w:hAnsi="Times New Roman" w:cs="Times New Roman"/>
          <w:color w:val="000000"/>
        </w:rPr>
        <w:t>and</w:t>
      </w:r>
      <w:r w:rsidR="004D2FD4">
        <w:rPr>
          <w:rFonts w:ascii="Times New Roman" w:hAnsi="Times New Roman" w:cs="Times New Roman"/>
          <w:color w:val="000000"/>
        </w:rPr>
        <w:t>/or</w:t>
      </w:r>
      <w:r w:rsidR="00535E20">
        <w:rPr>
          <w:rFonts w:ascii="Times New Roman" w:hAnsi="Times New Roman" w:cs="Times New Roman"/>
          <w:color w:val="000000"/>
        </w:rPr>
        <w:t xml:space="preserve"> reduced </w:t>
      </w:r>
      <w:r w:rsidR="00D23380">
        <w:rPr>
          <w:rFonts w:ascii="Times New Roman" w:hAnsi="Times New Roman" w:cs="Times New Roman"/>
          <w:color w:val="000000"/>
        </w:rPr>
        <w:t>footprints</w:t>
      </w:r>
      <w:r w:rsidR="00535E20">
        <w:rPr>
          <w:rFonts w:ascii="Times New Roman" w:hAnsi="Times New Roman" w:cs="Times New Roman"/>
          <w:color w:val="000000"/>
        </w:rPr>
        <w:t>.</w:t>
      </w:r>
      <w:r w:rsidR="00535E20">
        <w:rPr>
          <w:rStyle w:val="FootnoteReference"/>
          <w:rFonts w:ascii="Times New Roman" w:hAnsi="Times New Roman" w:cs="Times New Roman"/>
          <w:color w:val="000000"/>
        </w:rPr>
        <w:footnoteReference w:id="36"/>
      </w:r>
      <w:r w:rsidR="00D55E4E">
        <w:rPr>
          <w:rFonts w:ascii="Times New Roman" w:hAnsi="Times New Roman" w:cs="Times New Roman"/>
          <w:color w:val="000000"/>
        </w:rPr>
        <w:t xml:space="preserve"> </w:t>
      </w:r>
      <w:r w:rsidR="00762F18">
        <w:rPr>
          <w:rFonts w:ascii="Times New Roman" w:hAnsi="Times New Roman" w:cs="Times New Roman"/>
          <w:color w:val="000000"/>
        </w:rPr>
        <w:t>Prior to recission, the compliance costs related to FSOC’s designation of AIG were reportedly $150 million per year.</w:t>
      </w:r>
      <w:r w:rsidR="00762F18">
        <w:rPr>
          <w:rStyle w:val="FootnoteReference"/>
          <w:rFonts w:ascii="Times New Roman" w:hAnsi="Times New Roman" w:cs="Times New Roman"/>
          <w:color w:val="000000"/>
        </w:rPr>
        <w:footnoteReference w:id="37"/>
      </w:r>
    </w:p>
    <w:p w14:paraId="59312ECB" w14:textId="77777777" w:rsidR="00762F18" w:rsidRDefault="00762F18" w:rsidP="00C71A8A">
      <w:pPr>
        <w:pStyle w:val="NormalWeb"/>
        <w:rPr>
          <w:rFonts w:ascii="Times New Roman" w:hAnsi="Times New Roman" w:cs="Times New Roman"/>
          <w:color w:val="000000"/>
        </w:rPr>
      </w:pPr>
    </w:p>
    <w:p w14:paraId="3F271A65" w14:textId="5D39998E" w:rsidR="003F5F7A" w:rsidRDefault="003A2B1A" w:rsidP="00C71A8A">
      <w:pPr>
        <w:pStyle w:val="NormalWeb"/>
        <w:rPr>
          <w:rFonts w:ascii="Times New Roman" w:hAnsi="Times New Roman" w:cs="Times New Roman"/>
          <w:color w:val="000000"/>
        </w:rPr>
      </w:pPr>
      <w:r>
        <w:rPr>
          <w:rFonts w:ascii="Times New Roman" w:hAnsi="Times New Roman" w:cs="Times New Roman"/>
          <w:color w:val="000000"/>
        </w:rPr>
        <w:lastRenderedPageBreak/>
        <w:t xml:space="preserve">Notably, </w:t>
      </w:r>
      <w:r w:rsidR="00D74D27">
        <w:rPr>
          <w:rFonts w:ascii="Times New Roman" w:hAnsi="Times New Roman" w:cs="Times New Roman"/>
          <w:color w:val="000000"/>
        </w:rPr>
        <w:t xml:space="preserve">MetLife’s designation </w:t>
      </w:r>
      <w:r w:rsidR="00C22B6C">
        <w:rPr>
          <w:rFonts w:ascii="Times New Roman" w:hAnsi="Times New Roman" w:cs="Times New Roman"/>
          <w:color w:val="000000"/>
        </w:rPr>
        <w:t xml:space="preserve">was never formally rescinded, but </w:t>
      </w:r>
      <w:r w:rsidR="003F5F7A">
        <w:rPr>
          <w:rFonts w:ascii="Times New Roman" w:hAnsi="Times New Roman" w:cs="Times New Roman"/>
          <w:color w:val="000000"/>
        </w:rPr>
        <w:t xml:space="preserve">was thrown out by a </w:t>
      </w:r>
      <w:r w:rsidR="006518DD">
        <w:rPr>
          <w:rFonts w:ascii="Times New Roman" w:hAnsi="Times New Roman" w:cs="Times New Roman"/>
          <w:color w:val="000000"/>
        </w:rPr>
        <w:t>2016 U.S. District Court</w:t>
      </w:r>
      <w:r w:rsidR="003F5F7A">
        <w:rPr>
          <w:rFonts w:ascii="Times New Roman" w:hAnsi="Times New Roman" w:cs="Times New Roman"/>
          <w:color w:val="000000"/>
        </w:rPr>
        <w:t xml:space="preserve"> ruling</w:t>
      </w:r>
      <w:r w:rsidR="006A1522">
        <w:rPr>
          <w:rFonts w:ascii="Times New Roman" w:hAnsi="Times New Roman" w:cs="Times New Roman"/>
          <w:color w:val="000000"/>
        </w:rPr>
        <w:t>,</w:t>
      </w:r>
      <w:r w:rsidR="003F5F7A">
        <w:rPr>
          <w:rFonts w:ascii="Times New Roman" w:hAnsi="Times New Roman" w:cs="Times New Roman"/>
          <w:color w:val="000000"/>
        </w:rPr>
        <w:t xml:space="preserve"> which </w:t>
      </w:r>
      <w:r w:rsidR="006A1522">
        <w:rPr>
          <w:rFonts w:ascii="Times New Roman" w:hAnsi="Times New Roman" w:cs="Times New Roman"/>
          <w:color w:val="000000"/>
        </w:rPr>
        <w:t xml:space="preserve">noted that </w:t>
      </w:r>
      <w:r w:rsidR="00307693">
        <w:rPr>
          <w:rFonts w:ascii="Times New Roman" w:hAnsi="Times New Roman" w:cs="Times New Roman"/>
          <w:color w:val="000000"/>
        </w:rPr>
        <w:t xml:space="preserve">FSOC’s designation was “unreasonable” </w:t>
      </w:r>
      <w:r w:rsidR="00802F40">
        <w:rPr>
          <w:rFonts w:ascii="Times New Roman" w:hAnsi="Times New Roman" w:cs="Times New Roman"/>
          <w:color w:val="000000"/>
        </w:rPr>
        <w:t xml:space="preserve">in that it “focused </w:t>
      </w:r>
      <w:r w:rsidR="00802F40" w:rsidRPr="00802F40">
        <w:rPr>
          <w:rFonts w:ascii="Times New Roman" w:hAnsi="Times New Roman" w:cs="Times New Roman"/>
          <w:color w:val="000000"/>
        </w:rPr>
        <w:t>exclusively on the presumed benefits of its designation and ignored the attendant costs</w:t>
      </w:r>
      <w:r w:rsidR="006A1522">
        <w:rPr>
          <w:rFonts w:ascii="Times New Roman" w:hAnsi="Times New Roman" w:cs="Times New Roman"/>
          <w:color w:val="000000"/>
        </w:rPr>
        <w:t>.</w:t>
      </w:r>
      <w:r w:rsidR="00802F40">
        <w:rPr>
          <w:rFonts w:ascii="Times New Roman" w:hAnsi="Times New Roman" w:cs="Times New Roman"/>
          <w:color w:val="000000"/>
        </w:rPr>
        <w:t>”</w:t>
      </w:r>
      <w:r w:rsidR="00802F40" w:rsidRPr="00802F40">
        <w:rPr>
          <w:rStyle w:val="FootnoteReference"/>
          <w:rFonts w:ascii="Times New Roman" w:hAnsi="Times New Roman" w:cs="Times New Roman"/>
          <w:color w:val="000000"/>
        </w:rPr>
        <w:t xml:space="preserve"> </w:t>
      </w:r>
      <w:r w:rsidR="00802F40">
        <w:rPr>
          <w:rStyle w:val="FootnoteReference"/>
          <w:rFonts w:ascii="Times New Roman" w:hAnsi="Times New Roman" w:cs="Times New Roman"/>
          <w:color w:val="000000"/>
        </w:rPr>
        <w:footnoteReference w:id="38"/>
      </w:r>
      <w:r w:rsidR="006A1522">
        <w:rPr>
          <w:rFonts w:ascii="Times New Roman" w:hAnsi="Times New Roman" w:cs="Times New Roman"/>
          <w:color w:val="000000"/>
        </w:rPr>
        <w:t xml:space="preserve"> This decision </w:t>
      </w:r>
      <w:r w:rsidR="00802F40">
        <w:rPr>
          <w:rFonts w:ascii="Times New Roman" w:hAnsi="Times New Roman" w:cs="Times New Roman"/>
          <w:color w:val="000000"/>
        </w:rPr>
        <w:t xml:space="preserve">was </w:t>
      </w:r>
      <w:r w:rsidR="00D55E4E">
        <w:rPr>
          <w:rFonts w:ascii="Times New Roman" w:hAnsi="Times New Roman" w:cs="Times New Roman"/>
          <w:color w:val="000000"/>
        </w:rPr>
        <w:t>appealed by the Treasury Department and ultimately culminated in a 2018 settlement agreement</w:t>
      </w:r>
      <w:r w:rsidR="006518DD">
        <w:rPr>
          <w:rFonts w:ascii="Times New Roman" w:hAnsi="Times New Roman" w:cs="Times New Roman"/>
          <w:color w:val="000000"/>
        </w:rPr>
        <w:t xml:space="preserve"> whereby the designation did not move forward.</w:t>
      </w:r>
      <w:r w:rsidR="00303B6E">
        <w:rPr>
          <w:rStyle w:val="FootnoteReference"/>
          <w:rFonts w:ascii="Times New Roman" w:hAnsi="Times New Roman" w:cs="Times New Roman"/>
          <w:color w:val="000000"/>
        </w:rPr>
        <w:footnoteReference w:id="39"/>
      </w:r>
      <w:r w:rsidR="003B2DC4">
        <w:rPr>
          <w:rFonts w:ascii="Times New Roman" w:hAnsi="Times New Roman" w:cs="Times New Roman"/>
          <w:color w:val="000000"/>
        </w:rPr>
        <w:t xml:space="preserve"> </w:t>
      </w:r>
      <w:r w:rsidR="00035049">
        <w:rPr>
          <w:rFonts w:ascii="Times New Roman" w:hAnsi="Times New Roman" w:cs="Times New Roman"/>
          <w:color w:val="000000"/>
        </w:rPr>
        <w:t>About two years later</w:t>
      </w:r>
      <w:r w:rsidR="003B2DC4">
        <w:rPr>
          <w:rFonts w:ascii="Times New Roman" w:hAnsi="Times New Roman" w:cs="Times New Roman"/>
          <w:color w:val="000000"/>
        </w:rPr>
        <w:t xml:space="preserve">, the Trump Administration </w:t>
      </w:r>
      <w:r w:rsidR="00DB5F89">
        <w:rPr>
          <w:rFonts w:ascii="Times New Roman" w:hAnsi="Times New Roman" w:cs="Times New Roman"/>
          <w:color w:val="000000"/>
        </w:rPr>
        <w:t xml:space="preserve">finalized </w:t>
      </w:r>
      <w:r w:rsidR="00F44442">
        <w:rPr>
          <w:rFonts w:ascii="Times New Roman" w:hAnsi="Times New Roman" w:cs="Times New Roman"/>
          <w:color w:val="000000"/>
        </w:rPr>
        <w:t>revisions to the 2012 Non</w:t>
      </w:r>
      <w:r w:rsidR="00F10133">
        <w:rPr>
          <w:rFonts w:ascii="Times New Roman" w:hAnsi="Times New Roman" w:cs="Times New Roman"/>
          <w:color w:val="000000"/>
        </w:rPr>
        <w:t>-</w:t>
      </w:r>
      <w:r w:rsidR="00F44442">
        <w:rPr>
          <w:rFonts w:ascii="Times New Roman" w:hAnsi="Times New Roman" w:cs="Times New Roman"/>
          <w:color w:val="000000"/>
        </w:rPr>
        <w:t>bank Guidance which established new procedural steps for Section 113 designations (the “2019 Non</w:t>
      </w:r>
      <w:r w:rsidR="00F10133">
        <w:rPr>
          <w:rFonts w:ascii="Times New Roman" w:hAnsi="Times New Roman" w:cs="Times New Roman"/>
          <w:color w:val="000000"/>
        </w:rPr>
        <w:t>-</w:t>
      </w:r>
      <w:r w:rsidR="00F44442">
        <w:rPr>
          <w:rFonts w:ascii="Times New Roman" w:hAnsi="Times New Roman" w:cs="Times New Roman"/>
          <w:color w:val="000000"/>
        </w:rPr>
        <w:t>bank Guidance”)</w:t>
      </w:r>
      <w:r w:rsidR="004F0BD9">
        <w:rPr>
          <w:rFonts w:ascii="Times New Roman" w:hAnsi="Times New Roman" w:cs="Times New Roman"/>
          <w:color w:val="000000"/>
        </w:rPr>
        <w:t>.</w:t>
      </w:r>
      <w:r w:rsidR="004F0BD9">
        <w:rPr>
          <w:rStyle w:val="FootnoteReference"/>
          <w:rFonts w:ascii="Times New Roman" w:hAnsi="Times New Roman" w:cs="Times New Roman"/>
          <w:color w:val="000000"/>
        </w:rPr>
        <w:footnoteReference w:id="40"/>
      </w:r>
    </w:p>
    <w:p w14:paraId="00DBCB50" w14:textId="029F7ED6" w:rsidR="006518DD" w:rsidRDefault="006518DD" w:rsidP="00C71A8A">
      <w:pPr>
        <w:pStyle w:val="NormalWeb"/>
        <w:rPr>
          <w:rFonts w:ascii="Times New Roman" w:hAnsi="Times New Roman" w:cs="Times New Roman"/>
          <w:color w:val="000000"/>
        </w:rPr>
      </w:pPr>
    </w:p>
    <w:p w14:paraId="44D1F31C" w14:textId="10B834FA" w:rsidR="00BB2836" w:rsidRPr="006E482F" w:rsidRDefault="00CE0226" w:rsidP="00AF3BAD">
      <w:pPr>
        <w:pStyle w:val="NormalWeb"/>
        <w:rPr>
          <w:rFonts w:ascii="Times New Roman" w:hAnsi="Times New Roman" w:cs="Times New Roman"/>
          <w:b/>
          <w:bCs/>
          <w:i/>
          <w:iCs/>
          <w:color w:val="2F5496" w:themeColor="accent1" w:themeShade="BF"/>
          <w:u w:val="single"/>
        </w:rPr>
      </w:pPr>
      <w:r w:rsidRPr="006E482F">
        <w:rPr>
          <w:rFonts w:ascii="Times New Roman" w:hAnsi="Times New Roman" w:cs="Times New Roman"/>
          <w:b/>
          <w:bCs/>
          <w:color w:val="2F5496" w:themeColor="accent1" w:themeShade="BF"/>
        </w:rPr>
        <w:t xml:space="preserve">III) </w:t>
      </w:r>
      <w:r w:rsidR="00A87877" w:rsidRPr="006E482F">
        <w:rPr>
          <w:rFonts w:ascii="Times New Roman" w:hAnsi="Times New Roman" w:cs="Times New Roman"/>
          <w:b/>
          <w:bCs/>
          <w:i/>
          <w:iCs/>
          <w:color w:val="2F5496" w:themeColor="accent1" w:themeShade="BF"/>
          <w:u w:val="single"/>
        </w:rPr>
        <w:t>How the Proposed Analytic Framework and Proposed Non</w:t>
      </w:r>
      <w:r w:rsidR="00F10133" w:rsidRPr="006E482F">
        <w:rPr>
          <w:rFonts w:ascii="Times New Roman" w:hAnsi="Times New Roman" w:cs="Times New Roman"/>
          <w:b/>
          <w:bCs/>
          <w:i/>
          <w:iCs/>
          <w:color w:val="2F5496" w:themeColor="accent1" w:themeShade="BF"/>
          <w:u w:val="single"/>
        </w:rPr>
        <w:t>-</w:t>
      </w:r>
      <w:r w:rsidR="00A87877" w:rsidRPr="006E482F">
        <w:rPr>
          <w:rFonts w:ascii="Times New Roman" w:hAnsi="Times New Roman" w:cs="Times New Roman"/>
          <w:b/>
          <w:bCs/>
          <w:i/>
          <w:iCs/>
          <w:color w:val="2F5496" w:themeColor="accent1" w:themeShade="BF"/>
          <w:u w:val="single"/>
        </w:rPr>
        <w:t xml:space="preserve">bank Guidance would </w:t>
      </w:r>
      <w:r w:rsidR="006E482F">
        <w:rPr>
          <w:rFonts w:ascii="Times New Roman" w:hAnsi="Times New Roman" w:cs="Times New Roman"/>
          <w:b/>
          <w:bCs/>
          <w:i/>
          <w:iCs/>
          <w:color w:val="2F5496" w:themeColor="accent1" w:themeShade="BF"/>
          <w:u w:val="single"/>
        </w:rPr>
        <w:t>t</w:t>
      </w:r>
      <w:r w:rsidR="00A87877" w:rsidRPr="006E482F">
        <w:rPr>
          <w:rFonts w:ascii="Times New Roman" w:hAnsi="Times New Roman" w:cs="Times New Roman"/>
          <w:b/>
          <w:bCs/>
          <w:i/>
          <w:iCs/>
          <w:color w:val="2F5496" w:themeColor="accent1" w:themeShade="BF"/>
          <w:u w:val="single"/>
        </w:rPr>
        <w:t xml:space="preserve">urbocharge </w:t>
      </w:r>
    </w:p>
    <w:p w14:paraId="2E2737EF" w14:textId="44F6973F" w:rsidR="00AF3BAD" w:rsidRPr="006E482F" w:rsidRDefault="00BB2836" w:rsidP="00AF3BAD">
      <w:pPr>
        <w:pStyle w:val="NormalWeb"/>
        <w:rPr>
          <w:rFonts w:ascii="Times New Roman" w:hAnsi="Times New Roman" w:cs="Times New Roman"/>
          <w:b/>
          <w:bCs/>
          <w:i/>
          <w:iCs/>
          <w:color w:val="2F5496" w:themeColor="accent1" w:themeShade="BF"/>
          <w:u w:val="single"/>
        </w:rPr>
      </w:pPr>
      <w:r w:rsidRPr="006E482F">
        <w:rPr>
          <w:rFonts w:ascii="Times New Roman" w:hAnsi="Times New Roman" w:cs="Times New Roman"/>
          <w:b/>
          <w:bCs/>
          <w:i/>
          <w:iCs/>
          <w:color w:val="2F5496" w:themeColor="accent1" w:themeShade="BF"/>
        </w:rPr>
        <w:t xml:space="preserve">       </w:t>
      </w:r>
      <w:r w:rsidR="00A87877" w:rsidRPr="006E482F">
        <w:rPr>
          <w:rFonts w:ascii="Times New Roman" w:hAnsi="Times New Roman" w:cs="Times New Roman"/>
          <w:b/>
          <w:bCs/>
          <w:i/>
          <w:iCs/>
          <w:color w:val="2F5496" w:themeColor="accent1" w:themeShade="BF"/>
          <w:u w:val="single"/>
        </w:rPr>
        <w:t>FSOC</w:t>
      </w:r>
    </w:p>
    <w:p w14:paraId="72705296" w14:textId="77777777" w:rsidR="006518DD" w:rsidRDefault="006518DD" w:rsidP="00C71A8A">
      <w:pPr>
        <w:pStyle w:val="NormalWeb"/>
        <w:rPr>
          <w:rFonts w:ascii="Times New Roman" w:hAnsi="Times New Roman" w:cs="Times New Roman"/>
          <w:color w:val="000000"/>
        </w:rPr>
      </w:pPr>
    </w:p>
    <w:p w14:paraId="6B7623BF" w14:textId="09DCD937" w:rsidR="00D05860" w:rsidRDefault="00897E90" w:rsidP="00D732F2">
      <w:pPr>
        <w:pStyle w:val="NormalWeb"/>
        <w:rPr>
          <w:rFonts w:ascii="Times New Roman" w:hAnsi="Times New Roman" w:cs="Times New Roman"/>
          <w:color w:val="000000"/>
        </w:rPr>
      </w:pPr>
      <w:r>
        <w:rPr>
          <w:rFonts w:ascii="Times New Roman" w:hAnsi="Times New Roman" w:cs="Times New Roman"/>
          <w:color w:val="000000"/>
        </w:rPr>
        <w:t>The Proposed Analytic Framework and Proposed Non</w:t>
      </w:r>
      <w:r w:rsidR="00F10133">
        <w:rPr>
          <w:rFonts w:ascii="Times New Roman" w:hAnsi="Times New Roman" w:cs="Times New Roman"/>
          <w:color w:val="000000"/>
        </w:rPr>
        <w:t>-</w:t>
      </w:r>
      <w:r>
        <w:rPr>
          <w:rFonts w:ascii="Times New Roman" w:hAnsi="Times New Roman" w:cs="Times New Roman"/>
          <w:color w:val="000000"/>
        </w:rPr>
        <w:t xml:space="preserve">bank Guidance </w:t>
      </w:r>
      <w:r w:rsidR="00BF364E">
        <w:rPr>
          <w:rFonts w:ascii="Times New Roman" w:hAnsi="Times New Roman" w:cs="Times New Roman"/>
          <w:color w:val="000000"/>
        </w:rPr>
        <w:t xml:space="preserve">proposed by the Biden Administration on </w:t>
      </w:r>
      <w:r w:rsidR="009D0536">
        <w:rPr>
          <w:rFonts w:ascii="Times New Roman" w:hAnsi="Times New Roman" w:cs="Times New Roman"/>
          <w:color w:val="000000"/>
        </w:rPr>
        <w:t xml:space="preserve">21 April 2023 </w:t>
      </w:r>
      <w:r w:rsidR="00A7677D">
        <w:rPr>
          <w:rFonts w:ascii="Times New Roman" w:hAnsi="Times New Roman" w:cs="Times New Roman"/>
          <w:color w:val="000000"/>
        </w:rPr>
        <w:t xml:space="preserve">retain </w:t>
      </w:r>
      <w:r w:rsidR="00FA3390">
        <w:rPr>
          <w:rFonts w:ascii="Times New Roman" w:hAnsi="Times New Roman" w:cs="Times New Roman"/>
          <w:color w:val="000000"/>
        </w:rPr>
        <w:t>some</w:t>
      </w:r>
      <w:r w:rsidR="00A7677D">
        <w:rPr>
          <w:rFonts w:ascii="Times New Roman" w:hAnsi="Times New Roman" w:cs="Times New Roman"/>
          <w:color w:val="000000"/>
        </w:rPr>
        <w:t xml:space="preserve"> important </w:t>
      </w:r>
      <w:r w:rsidR="00D05860">
        <w:rPr>
          <w:rFonts w:ascii="Times New Roman" w:hAnsi="Times New Roman" w:cs="Times New Roman"/>
          <w:color w:val="000000"/>
        </w:rPr>
        <w:t xml:space="preserve">procedural </w:t>
      </w:r>
      <w:r w:rsidR="00A7677D">
        <w:rPr>
          <w:rFonts w:ascii="Times New Roman" w:hAnsi="Times New Roman" w:cs="Times New Roman"/>
          <w:color w:val="000000"/>
        </w:rPr>
        <w:t>steps for Section 113 designations</w:t>
      </w:r>
      <w:r w:rsidR="009D0536">
        <w:rPr>
          <w:rFonts w:ascii="Times New Roman" w:hAnsi="Times New Roman" w:cs="Times New Roman"/>
          <w:color w:val="000000"/>
        </w:rPr>
        <w:t xml:space="preserve"> from the 2019 Non</w:t>
      </w:r>
      <w:r w:rsidR="00F10133">
        <w:rPr>
          <w:rFonts w:ascii="Times New Roman" w:hAnsi="Times New Roman" w:cs="Times New Roman"/>
          <w:color w:val="000000"/>
        </w:rPr>
        <w:t>-</w:t>
      </w:r>
      <w:r w:rsidR="009D0536">
        <w:rPr>
          <w:rFonts w:ascii="Times New Roman" w:hAnsi="Times New Roman" w:cs="Times New Roman"/>
          <w:color w:val="000000"/>
        </w:rPr>
        <w:t>bank Guidance</w:t>
      </w:r>
      <w:r w:rsidR="00A7677D">
        <w:rPr>
          <w:rFonts w:ascii="Times New Roman" w:hAnsi="Times New Roman" w:cs="Times New Roman"/>
          <w:color w:val="000000"/>
        </w:rPr>
        <w:t xml:space="preserve">, </w:t>
      </w:r>
      <w:r w:rsidR="00126884">
        <w:rPr>
          <w:rFonts w:ascii="Times New Roman" w:hAnsi="Times New Roman" w:cs="Times New Roman"/>
          <w:color w:val="000000"/>
        </w:rPr>
        <w:t xml:space="preserve">including </w:t>
      </w:r>
      <w:r w:rsidR="008C68C1">
        <w:rPr>
          <w:rFonts w:ascii="Times New Roman" w:hAnsi="Times New Roman" w:cs="Times New Roman"/>
          <w:color w:val="000000"/>
        </w:rPr>
        <w:t xml:space="preserve">a two-stage process for non-bank </w:t>
      </w:r>
      <w:r w:rsidR="009B5B2E">
        <w:rPr>
          <w:rFonts w:ascii="Times New Roman" w:hAnsi="Times New Roman" w:cs="Times New Roman"/>
          <w:color w:val="000000"/>
        </w:rPr>
        <w:t xml:space="preserve">Section 113 </w:t>
      </w:r>
      <w:r w:rsidR="008C68C1">
        <w:rPr>
          <w:rFonts w:ascii="Times New Roman" w:hAnsi="Times New Roman" w:cs="Times New Roman"/>
          <w:color w:val="000000"/>
        </w:rPr>
        <w:t>designations</w:t>
      </w:r>
      <w:r w:rsidR="00533D13">
        <w:rPr>
          <w:rFonts w:ascii="Times New Roman" w:hAnsi="Times New Roman" w:cs="Times New Roman"/>
          <w:color w:val="000000"/>
        </w:rPr>
        <w:t xml:space="preserve">. </w:t>
      </w:r>
      <w:r w:rsidR="009D0536">
        <w:rPr>
          <w:rFonts w:ascii="Times New Roman" w:hAnsi="Times New Roman" w:cs="Times New Roman"/>
          <w:color w:val="000000"/>
        </w:rPr>
        <w:t xml:space="preserve">Under this approach, </w:t>
      </w:r>
      <w:r w:rsidR="00C64450">
        <w:rPr>
          <w:rFonts w:ascii="Times New Roman" w:hAnsi="Times New Roman" w:cs="Times New Roman"/>
          <w:color w:val="000000"/>
        </w:rPr>
        <w:t xml:space="preserve">FSOC first </w:t>
      </w:r>
      <w:r w:rsidR="00417902">
        <w:rPr>
          <w:rFonts w:ascii="Times New Roman" w:hAnsi="Times New Roman" w:cs="Times New Roman"/>
          <w:color w:val="000000"/>
        </w:rPr>
        <w:t xml:space="preserve">determines whether to pursue designation of a non-bank financial firm </w:t>
      </w:r>
      <w:r w:rsidR="009F04C8">
        <w:rPr>
          <w:rFonts w:ascii="Times New Roman" w:hAnsi="Times New Roman" w:cs="Times New Roman"/>
          <w:color w:val="000000"/>
        </w:rPr>
        <w:t>by reviewing public and regulatory information and through FSOC staff dialogue with the firm.</w:t>
      </w:r>
      <w:r w:rsidR="00B30C86">
        <w:rPr>
          <w:rStyle w:val="FootnoteReference"/>
          <w:rFonts w:ascii="Times New Roman" w:hAnsi="Times New Roman" w:cs="Times New Roman"/>
          <w:color w:val="000000"/>
        </w:rPr>
        <w:footnoteReference w:id="41"/>
      </w:r>
      <w:r w:rsidR="009F04C8">
        <w:rPr>
          <w:rFonts w:ascii="Times New Roman" w:hAnsi="Times New Roman" w:cs="Times New Roman"/>
          <w:color w:val="000000"/>
        </w:rPr>
        <w:t xml:space="preserve"> Then, if FSOC determines a particular non-bank </w:t>
      </w:r>
      <w:r w:rsidR="004E21B2">
        <w:rPr>
          <w:rFonts w:ascii="Times New Roman" w:hAnsi="Times New Roman" w:cs="Times New Roman"/>
          <w:color w:val="000000"/>
        </w:rPr>
        <w:t>indeed potentially warrants Section 113 designation, an in-depth examination is carried out, culminating in a vote to propose designation, which in turn culminates in a hearing before a designation is finalized.</w:t>
      </w:r>
      <w:r w:rsidR="00B30C86">
        <w:rPr>
          <w:rStyle w:val="FootnoteReference"/>
          <w:rFonts w:ascii="Times New Roman" w:hAnsi="Times New Roman" w:cs="Times New Roman"/>
          <w:color w:val="000000"/>
        </w:rPr>
        <w:footnoteReference w:id="42"/>
      </w:r>
    </w:p>
    <w:p w14:paraId="361E3993" w14:textId="77777777" w:rsidR="00FA3390" w:rsidRDefault="00FA3390" w:rsidP="00D732F2">
      <w:pPr>
        <w:pStyle w:val="NormalWeb"/>
        <w:rPr>
          <w:rFonts w:ascii="Times New Roman" w:hAnsi="Times New Roman" w:cs="Times New Roman"/>
          <w:color w:val="000000"/>
        </w:rPr>
      </w:pPr>
    </w:p>
    <w:p w14:paraId="5C1B0E7B" w14:textId="7885D464" w:rsidR="00D732F2" w:rsidRDefault="00DB5F89" w:rsidP="00D732F2">
      <w:pPr>
        <w:pStyle w:val="NormalWeb"/>
        <w:rPr>
          <w:rFonts w:ascii="Times New Roman" w:hAnsi="Times New Roman" w:cs="Times New Roman"/>
          <w:color w:val="000000"/>
        </w:rPr>
      </w:pPr>
      <w:r>
        <w:rPr>
          <w:rFonts w:ascii="Times New Roman" w:hAnsi="Times New Roman" w:cs="Times New Roman"/>
          <w:color w:val="000000"/>
        </w:rPr>
        <w:t>But for</w:t>
      </w:r>
      <w:r w:rsidR="00FA3390">
        <w:rPr>
          <w:rFonts w:ascii="Times New Roman" w:hAnsi="Times New Roman" w:cs="Times New Roman"/>
          <w:color w:val="000000"/>
        </w:rPr>
        <w:t xml:space="preserve"> the most part, the Proposed Analytic Framework and Proposed Non</w:t>
      </w:r>
      <w:r w:rsidR="00F10133">
        <w:rPr>
          <w:rFonts w:ascii="Times New Roman" w:hAnsi="Times New Roman" w:cs="Times New Roman"/>
          <w:color w:val="000000"/>
        </w:rPr>
        <w:t>-</w:t>
      </w:r>
      <w:r w:rsidR="00FA3390">
        <w:rPr>
          <w:rFonts w:ascii="Times New Roman" w:hAnsi="Times New Roman" w:cs="Times New Roman"/>
          <w:color w:val="000000"/>
        </w:rPr>
        <w:t xml:space="preserve">bank Guidance appear designed to enable FSOC to behave much more actively than the FSOC of the Obama </w:t>
      </w:r>
      <w:r>
        <w:rPr>
          <w:rFonts w:ascii="Times New Roman" w:hAnsi="Times New Roman" w:cs="Times New Roman"/>
          <w:color w:val="000000"/>
        </w:rPr>
        <w:t xml:space="preserve">and Trump </w:t>
      </w:r>
      <w:r w:rsidR="00FA3390">
        <w:rPr>
          <w:rFonts w:ascii="Times New Roman" w:hAnsi="Times New Roman" w:cs="Times New Roman"/>
          <w:color w:val="000000"/>
        </w:rPr>
        <w:t>Administration</w:t>
      </w:r>
      <w:r>
        <w:rPr>
          <w:rFonts w:ascii="Times New Roman" w:hAnsi="Times New Roman" w:cs="Times New Roman"/>
          <w:color w:val="000000"/>
        </w:rPr>
        <w:t>s</w:t>
      </w:r>
      <w:r w:rsidR="00FA3390">
        <w:rPr>
          <w:rFonts w:ascii="Times New Roman" w:hAnsi="Times New Roman" w:cs="Times New Roman"/>
          <w:color w:val="000000"/>
        </w:rPr>
        <w:t>. The</w:t>
      </w:r>
      <w:r>
        <w:rPr>
          <w:rFonts w:ascii="Times New Roman" w:hAnsi="Times New Roman" w:cs="Times New Roman"/>
          <w:color w:val="000000"/>
        </w:rPr>
        <w:t>se</w:t>
      </w:r>
      <w:r w:rsidR="00FA3390">
        <w:rPr>
          <w:rFonts w:ascii="Times New Roman" w:hAnsi="Times New Roman" w:cs="Times New Roman"/>
          <w:color w:val="000000"/>
        </w:rPr>
        <w:t xml:space="preserve"> </w:t>
      </w:r>
      <w:r w:rsidR="00126884">
        <w:rPr>
          <w:rFonts w:ascii="Times New Roman" w:hAnsi="Times New Roman" w:cs="Times New Roman"/>
          <w:color w:val="000000"/>
        </w:rPr>
        <w:t xml:space="preserve">documents will do away with various </w:t>
      </w:r>
      <w:r>
        <w:rPr>
          <w:rFonts w:ascii="Times New Roman" w:hAnsi="Times New Roman" w:cs="Times New Roman"/>
          <w:color w:val="000000"/>
        </w:rPr>
        <w:t xml:space="preserve">important procedural steps surrounding the use of Section 113 authorities set forth in </w:t>
      </w:r>
      <w:r w:rsidR="00EA2ABC">
        <w:rPr>
          <w:rFonts w:ascii="Times New Roman" w:hAnsi="Times New Roman" w:cs="Times New Roman"/>
          <w:color w:val="000000"/>
        </w:rPr>
        <w:t>existing guidance</w:t>
      </w:r>
      <w:r w:rsidR="00FA3390">
        <w:rPr>
          <w:rFonts w:ascii="Times New Roman" w:hAnsi="Times New Roman" w:cs="Times New Roman"/>
          <w:color w:val="000000"/>
        </w:rPr>
        <w:t xml:space="preserve"> and </w:t>
      </w:r>
      <w:r w:rsidR="00AB6AEF">
        <w:rPr>
          <w:rFonts w:ascii="Times New Roman" w:hAnsi="Times New Roman" w:cs="Times New Roman"/>
          <w:color w:val="000000"/>
        </w:rPr>
        <w:t>seem designed to facilitate a broader range of non-bank designations than which took place during the Obama Administration</w:t>
      </w:r>
      <w:r w:rsidR="00973BAF">
        <w:rPr>
          <w:rFonts w:ascii="Times New Roman" w:hAnsi="Times New Roman" w:cs="Times New Roman"/>
          <w:color w:val="000000"/>
        </w:rPr>
        <w:t>. The Proposed Analytic Framework and Proposed Non</w:t>
      </w:r>
      <w:r w:rsidR="00F10133">
        <w:rPr>
          <w:rFonts w:ascii="Times New Roman" w:hAnsi="Times New Roman" w:cs="Times New Roman"/>
          <w:color w:val="000000"/>
        </w:rPr>
        <w:t>-</w:t>
      </w:r>
      <w:r w:rsidR="00973BAF">
        <w:rPr>
          <w:rFonts w:ascii="Times New Roman" w:hAnsi="Times New Roman" w:cs="Times New Roman"/>
          <w:color w:val="000000"/>
        </w:rPr>
        <w:t xml:space="preserve">bank Guidance are </w:t>
      </w:r>
      <w:r w:rsidR="00625970">
        <w:rPr>
          <w:rFonts w:ascii="Times New Roman" w:hAnsi="Times New Roman" w:cs="Times New Roman"/>
          <w:color w:val="000000"/>
        </w:rPr>
        <w:t xml:space="preserve">also </w:t>
      </w:r>
      <w:r w:rsidR="00973BAF">
        <w:rPr>
          <w:rFonts w:ascii="Times New Roman" w:hAnsi="Times New Roman" w:cs="Times New Roman"/>
          <w:color w:val="000000"/>
        </w:rPr>
        <w:t xml:space="preserve">clearly crafted in a way that aims to avoid </w:t>
      </w:r>
      <w:r w:rsidR="00AB6AEF">
        <w:rPr>
          <w:rFonts w:ascii="Times New Roman" w:hAnsi="Times New Roman" w:cs="Times New Roman"/>
          <w:color w:val="000000"/>
        </w:rPr>
        <w:t xml:space="preserve">legal challenges that </w:t>
      </w:r>
      <w:r w:rsidR="00897E90">
        <w:rPr>
          <w:rFonts w:ascii="Times New Roman" w:hAnsi="Times New Roman" w:cs="Times New Roman"/>
          <w:color w:val="000000"/>
        </w:rPr>
        <w:t>culminated in the MetLife designation being thrown out</w:t>
      </w:r>
      <w:r w:rsidR="00FB0871">
        <w:rPr>
          <w:rFonts w:ascii="Times New Roman" w:hAnsi="Times New Roman" w:cs="Times New Roman"/>
          <w:color w:val="000000"/>
        </w:rPr>
        <w:t xml:space="preserve">. </w:t>
      </w:r>
      <w:r w:rsidR="00625970">
        <w:rPr>
          <w:rFonts w:ascii="Times New Roman" w:hAnsi="Times New Roman" w:cs="Times New Roman"/>
          <w:color w:val="000000"/>
        </w:rPr>
        <w:t>Additionally</w:t>
      </w:r>
      <w:r w:rsidR="00973BAF">
        <w:rPr>
          <w:rFonts w:ascii="Times New Roman" w:hAnsi="Times New Roman" w:cs="Times New Roman"/>
          <w:color w:val="000000"/>
        </w:rPr>
        <w:t>,</w:t>
      </w:r>
      <w:r w:rsidR="00283622">
        <w:rPr>
          <w:rFonts w:ascii="Times New Roman" w:hAnsi="Times New Roman" w:cs="Times New Roman"/>
          <w:color w:val="000000"/>
        </w:rPr>
        <w:t xml:space="preserve"> </w:t>
      </w:r>
      <w:r w:rsidR="00973BAF">
        <w:rPr>
          <w:rFonts w:ascii="Times New Roman" w:hAnsi="Times New Roman" w:cs="Times New Roman"/>
          <w:color w:val="000000"/>
        </w:rPr>
        <w:t>the</w:t>
      </w:r>
      <w:r w:rsidR="00451CC1">
        <w:rPr>
          <w:rFonts w:ascii="Times New Roman" w:hAnsi="Times New Roman" w:cs="Times New Roman"/>
          <w:color w:val="000000"/>
        </w:rPr>
        <w:t xml:space="preserve"> Proposed Analytic Framework</w:t>
      </w:r>
      <w:r w:rsidR="00283622">
        <w:rPr>
          <w:rFonts w:ascii="Times New Roman" w:hAnsi="Times New Roman" w:cs="Times New Roman"/>
          <w:color w:val="000000"/>
        </w:rPr>
        <w:t xml:space="preserve"> </w:t>
      </w:r>
      <w:r w:rsidR="00451CC1">
        <w:rPr>
          <w:rFonts w:ascii="Times New Roman" w:hAnsi="Times New Roman" w:cs="Times New Roman"/>
          <w:color w:val="000000"/>
        </w:rPr>
        <w:t xml:space="preserve">indicates that FSOC is preparing to use its </w:t>
      </w:r>
      <w:r w:rsidR="00283622">
        <w:rPr>
          <w:rFonts w:ascii="Times New Roman" w:hAnsi="Times New Roman" w:cs="Times New Roman"/>
          <w:color w:val="000000"/>
        </w:rPr>
        <w:t xml:space="preserve">Section 804 authority to designate </w:t>
      </w:r>
      <w:r w:rsidR="00451CC1">
        <w:rPr>
          <w:rFonts w:ascii="Times New Roman" w:hAnsi="Times New Roman" w:cs="Times New Roman"/>
          <w:color w:val="000000"/>
        </w:rPr>
        <w:t>PCS Activit</w:t>
      </w:r>
      <w:r w:rsidR="00283622">
        <w:rPr>
          <w:rFonts w:ascii="Times New Roman" w:hAnsi="Times New Roman" w:cs="Times New Roman"/>
          <w:color w:val="000000"/>
        </w:rPr>
        <w:t xml:space="preserve">ies </w:t>
      </w:r>
      <w:r w:rsidR="00451CC1">
        <w:rPr>
          <w:rFonts w:ascii="Times New Roman" w:hAnsi="Times New Roman" w:cs="Times New Roman"/>
          <w:color w:val="000000"/>
        </w:rPr>
        <w:t>for the first time.</w:t>
      </w:r>
      <w:r w:rsidR="00973BAF">
        <w:rPr>
          <w:rFonts w:ascii="Times New Roman" w:hAnsi="Times New Roman" w:cs="Times New Roman"/>
          <w:color w:val="000000"/>
        </w:rPr>
        <w:t xml:space="preserve"> </w:t>
      </w:r>
      <w:r w:rsidR="00ED5251">
        <w:rPr>
          <w:rFonts w:ascii="Times New Roman" w:hAnsi="Times New Roman" w:cs="Times New Roman"/>
          <w:color w:val="000000"/>
        </w:rPr>
        <w:t>Described below are three</w:t>
      </w:r>
      <w:r w:rsidR="00973BAF">
        <w:rPr>
          <w:rFonts w:ascii="Times New Roman" w:hAnsi="Times New Roman" w:cs="Times New Roman"/>
          <w:color w:val="000000"/>
        </w:rPr>
        <w:t xml:space="preserve"> significant </w:t>
      </w:r>
      <w:r w:rsidR="00ED5251">
        <w:rPr>
          <w:rFonts w:ascii="Times New Roman" w:hAnsi="Times New Roman" w:cs="Times New Roman"/>
          <w:color w:val="000000"/>
        </w:rPr>
        <w:t>ways in which</w:t>
      </w:r>
      <w:r w:rsidR="00973BAF">
        <w:rPr>
          <w:rFonts w:ascii="Times New Roman" w:hAnsi="Times New Roman" w:cs="Times New Roman"/>
          <w:color w:val="000000"/>
        </w:rPr>
        <w:t xml:space="preserve"> the Proposed Analytic Framework and Proposed Non</w:t>
      </w:r>
      <w:r w:rsidR="00F10133">
        <w:rPr>
          <w:rFonts w:ascii="Times New Roman" w:hAnsi="Times New Roman" w:cs="Times New Roman"/>
          <w:color w:val="000000"/>
        </w:rPr>
        <w:t>-</w:t>
      </w:r>
      <w:r w:rsidR="00973BAF">
        <w:rPr>
          <w:rFonts w:ascii="Times New Roman" w:hAnsi="Times New Roman" w:cs="Times New Roman"/>
          <w:color w:val="000000"/>
        </w:rPr>
        <w:t xml:space="preserve">bank Guidance </w:t>
      </w:r>
      <w:r w:rsidR="00ED5251">
        <w:rPr>
          <w:rFonts w:ascii="Times New Roman" w:hAnsi="Times New Roman" w:cs="Times New Roman"/>
          <w:color w:val="000000"/>
        </w:rPr>
        <w:t>seem poised to accelerate FSOC designations</w:t>
      </w:r>
      <w:r w:rsidR="00973BAF">
        <w:rPr>
          <w:rFonts w:ascii="Times New Roman" w:hAnsi="Times New Roman" w:cs="Times New Roman"/>
          <w:color w:val="000000"/>
        </w:rPr>
        <w:t>.</w:t>
      </w:r>
    </w:p>
    <w:p w14:paraId="5E83FB2A" w14:textId="77777777" w:rsidR="00D732F2" w:rsidRDefault="00D732F2" w:rsidP="00D732F2">
      <w:pPr>
        <w:pStyle w:val="NormalWeb"/>
        <w:rPr>
          <w:rFonts w:ascii="Times New Roman" w:hAnsi="Times New Roman" w:cs="Times New Roman"/>
          <w:color w:val="000000"/>
        </w:rPr>
      </w:pPr>
    </w:p>
    <w:p w14:paraId="710F348B" w14:textId="5548FFAB" w:rsidR="00102F75" w:rsidRPr="00AB03F5" w:rsidRDefault="00102F75" w:rsidP="00D732F2">
      <w:pPr>
        <w:pStyle w:val="NormalWeb"/>
        <w:rPr>
          <w:rFonts w:ascii="Times New Roman" w:eastAsia="Times New Roman" w:hAnsi="Times New Roman" w:cs="Times New Roman"/>
          <w:b/>
          <w:bCs/>
          <w:i/>
          <w:iCs/>
          <w:color w:val="2F5496" w:themeColor="accent1" w:themeShade="BF"/>
        </w:rPr>
      </w:pPr>
      <w:r w:rsidRPr="00AB03F5">
        <w:rPr>
          <w:rFonts w:ascii="Times New Roman" w:hAnsi="Times New Roman" w:cs="Times New Roman"/>
          <w:b/>
          <w:bCs/>
          <w:i/>
          <w:iCs/>
          <w:color w:val="000000"/>
        </w:rPr>
        <w:tab/>
      </w:r>
      <w:r w:rsidRPr="00AB03F5">
        <w:rPr>
          <w:rFonts w:ascii="Times New Roman" w:hAnsi="Times New Roman" w:cs="Times New Roman"/>
          <w:b/>
          <w:bCs/>
          <w:color w:val="2F5496" w:themeColor="accent1" w:themeShade="BF"/>
        </w:rPr>
        <w:t>A)</w:t>
      </w:r>
      <w:r w:rsidRPr="00AB03F5">
        <w:rPr>
          <w:rFonts w:ascii="Times New Roman" w:hAnsi="Times New Roman" w:cs="Times New Roman"/>
          <w:b/>
          <w:bCs/>
          <w:i/>
          <w:iCs/>
          <w:color w:val="2F5496" w:themeColor="accent1" w:themeShade="BF"/>
        </w:rPr>
        <w:t xml:space="preserve"> </w:t>
      </w:r>
      <w:r w:rsidR="00D732F2" w:rsidRPr="00AB03F5">
        <w:rPr>
          <w:rFonts w:ascii="Times New Roman" w:hAnsi="Times New Roman" w:cs="Times New Roman"/>
          <w:b/>
          <w:bCs/>
          <w:i/>
          <w:iCs/>
          <w:color w:val="2F5496" w:themeColor="accent1" w:themeShade="BF"/>
        </w:rPr>
        <w:t>Dramatically</w:t>
      </w:r>
      <w:r w:rsidR="00D732F2" w:rsidRPr="00AB03F5">
        <w:rPr>
          <w:rFonts w:ascii="Times New Roman" w:eastAsia="Times New Roman" w:hAnsi="Times New Roman" w:cs="Times New Roman"/>
          <w:b/>
          <w:bCs/>
          <w:i/>
          <w:iCs/>
          <w:color w:val="2F5496" w:themeColor="accent1" w:themeShade="BF"/>
        </w:rPr>
        <w:t xml:space="preserve"> </w:t>
      </w:r>
      <w:r w:rsidR="00334CF8" w:rsidRPr="00AB03F5">
        <w:rPr>
          <w:rFonts w:ascii="Times New Roman" w:eastAsia="Times New Roman" w:hAnsi="Times New Roman" w:cs="Times New Roman"/>
          <w:b/>
          <w:bCs/>
          <w:i/>
          <w:iCs/>
          <w:color w:val="2F5496" w:themeColor="accent1" w:themeShade="BF"/>
        </w:rPr>
        <w:t>eases</w:t>
      </w:r>
      <w:r w:rsidR="00D732F2" w:rsidRPr="00AB03F5">
        <w:rPr>
          <w:rFonts w:ascii="Times New Roman" w:eastAsia="Times New Roman" w:hAnsi="Times New Roman" w:cs="Times New Roman"/>
          <w:b/>
          <w:bCs/>
          <w:i/>
          <w:iCs/>
          <w:color w:val="2F5496" w:themeColor="accent1" w:themeShade="BF"/>
        </w:rPr>
        <w:t xml:space="preserve"> the ability of FSOC to use its Section 113 authority</w:t>
      </w:r>
      <w:r w:rsidR="001A16CC" w:rsidRPr="00AB03F5">
        <w:rPr>
          <w:rFonts w:ascii="Times New Roman" w:eastAsia="Times New Roman" w:hAnsi="Times New Roman" w:cs="Times New Roman"/>
          <w:b/>
          <w:bCs/>
          <w:i/>
          <w:iCs/>
          <w:color w:val="2F5496" w:themeColor="accent1" w:themeShade="BF"/>
        </w:rPr>
        <w:t xml:space="preserve"> in a way that aims to </w:t>
      </w:r>
    </w:p>
    <w:p w14:paraId="4E5BD933" w14:textId="6B4BEB81" w:rsidR="00D732F2" w:rsidRPr="00AB03F5" w:rsidRDefault="00102F75" w:rsidP="00D732F2">
      <w:pPr>
        <w:pStyle w:val="NormalWeb"/>
        <w:rPr>
          <w:rFonts w:ascii="Times New Roman" w:eastAsia="Times New Roman" w:hAnsi="Times New Roman" w:cs="Times New Roman"/>
          <w:b/>
          <w:bCs/>
          <w:color w:val="2F5496" w:themeColor="accent1" w:themeShade="BF"/>
        </w:rPr>
      </w:pPr>
      <w:r w:rsidRPr="00AB03F5">
        <w:rPr>
          <w:rFonts w:ascii="Times New Roman" w:eastAsia="Times New Roman" w:hAnsi="Times New Roman" w:cs="Times New Roman"/>
          <w:b/>
          <w:bCs/>
          <w:i/>
          <w:iCs/>
          <w:color w:val="2F5496" w:themeColor="accent1" w:themeShade="BF"/>
        </w:rPr>
        <w:tab/>
        <w:t xml:space="preserve">     </w:t>
      </w:r>
      <w:r w:rsidR="001A16CC" w:rsidRPr="00AB03F5">
        <w:rPr>
          <w:rFonts w:ascii="Times New Roman" w:eastAsia="Times New Roman" w:hAnsi="Times New Roman" w:cs="Times New Roman"/>
          <w:b/>
          <w:bCs/>
          <w:i/>
          <w:iCs/>
          <w:color w:val="2F5496" w:themeColor="accent1" w:themeShade="BF"/>
        </w:rPr>
        <w:t xml:space="preserve">avoid future legal </w:t>
      </w:r>
      <w:proofErr w:type="gramStart"/>
      <w:r w:rsidR="001A16CC" w:rsidRPr="00AB03F5">
        <w:rPr>
          <w:rFonts w:ascii="Times New Roman" w:eastAsia="Times New Roman" w:hAnsi="Times New Roman" w:cs="Times New Roman"/>
          <w:b/>
          <w:bCs/>
          <w:i/>
          <w:iCs/>
          <w:color w:val="2F5496" w:themeColor="accent1" w:themeShade="BF"/>
        </w:rPr>
        <w:t>challenges</w:t>
      </w:r>
      <w:proofErr w:type="gramEnd"/>
      <w:r w:rsidR="00D732F2" w:rsidRPr="00AB03F5">
        <w:rPr>
          <w:rFonts w:ascii="Times New Roman" w:eastAsia="Times New Roman" w:hAnsi="Times New Roman" w:cs="Times New Roman"/>
          <w:b/>
          <w:bCs/>
          <w:color w:val="2F5496" w:themeColor="accent1" w:themeShade="BF"/>
        </w:rPr>
        <w:t xml:space="preserve"> </w:t>
      </w:r>
    </w:p>
    <w:p w14:paraId="381A5441" w14:textId="77777777" w:rsidR="00D732F2" w:rsidRPr="00D732F2" w:rsidRDefault="00D732F2" w:rsidP="00D732F2">
      <w:pPr>
        <w:pStyle w:val="NormalWeb"/>
        <w:rPr>
          <w:rFonts w:ascii="Times New Roman" w:eastAsia="Times New Roman" w:hAnsi="Times New Roman" w:cs="Times New Roman"/>
        </w:rPr>
      </w:pPr>
    </w:p>
    <w:p w14:paraId="750ED427" w14:textId="50C8CF94" w:rsidR="00D732F2" w:rsidRPr="00D732F2" w:rsidRDefault="00D732F2" w:rsidP="00D732F2">
      <w:pPr>
        <w:pStyle w:val="NormalWeb"/>
        <w:rPr>
          <w:rFonts w:ascii="Times New Roman" w:eastAsia="Times New Roman" w:hAnsi="Times New Roman" w:cs="Times New Roman"/>
        </w:rPr>
      </w:pPr>
      <w:r>
        <w:rPr>
          <w:rFonts w:ascii="Times New Roman" w:eastAsia="Times New Roman" w:hAnsi="Times New Roman" w:cs="Times New Roman"/>
        </w:rPr>
        <w:t>The Proposed Non</w:t>
      </w:r>
      <w:r w:rsidR="00F10133">
        <w:rPr>
          <w:rFonts w:ascii="Times New Roman" w:eastAsia="Times New Roman" w:hAnsi="Times New Roman" w:cs="Times New Roman"/>
        </w:rPr>
        <w:t>-</w:t>
      </w:r>
      <w:r>
        <w:rPr>
          <w:rFonts w:ascii="Times New Roman" w:eastAsia="Times New Roman" w:hAnsi="Times New Roman" w:cs="Times New Roman"/>
        </w:rPr>
        <w:t xml:space="preserve">bank Guidance would remove several important procedural steps established by the </w:t>
      </w:r>
      <w:r w:rsidR="00B10BFE">
        <w:rPr>
          <w:rFonts w:ascii="Times New Roman" w:eastAsia="Times New Roman" w:hAnsi="Times New Roman" w:cs="Times New Roman"/>
        </w:rPr>
        <w:t>2019 Non</w:t>
      </w:r>
      <w:r w:rsidR="00F10133">
        <w:rPr>
          <w:rFonts w:ascii="Times New Roman" w:eastAsia="Times New Roman" w:hAnsi="Times New Roman" w:cs="Times New Roman"/>
        </w:rPr>
        <w:t>-</w:t>
      </w:r>
      <w:r w:rsidR="00B10BFE">
        <w:rPr>
          <w:rFonts w:ascii="Times New Roman" w:eastAsia="Times New Roman" w:hAnsi="Times New Roman" w:cs="Times New Roman"/>
        </w:rPr>
        <w:t xml:space="preserve">bank Guidance </w:t>
      </w:r>
      <w:r>
        <w:rPr>
          <w:rFonts w:ascii="Times New Roman" w:eastAsia="Times New Roman" w:hAnsi="Times New Roman" w:cs="Times New Roman"/>
        </w:rPr>
        <w:t>to govern FSOC’s use of Section 113.</w:t>
      </w:r>
      <w:r w:rsidR="00632961">
        <w:rPr>
          <w:rStyle w:val="FootnoteReference"/>
          <w:rFonts w:ascii="Times New Roman" w:eastAsia="Times New Roman" w:hAnsi="Times New Roman" w:cs="Times New Roman"/>
        </w:rPr>
        <w:footnoteReference w:id="43"/>
      </w:r>
      <w:r>
        <w:rPr>
          <w:rFonts w:ascii="Times New Roman" w:eastAsia="Times New Roman" w:hAnsi="Times New Roman" w:cs="Times New Roman"/>
        </w:rPr>
        <w:t xml:space="preserve"> First, the Proposed Non</w:t>
      </w:r>
      <w:r w:rsidR="00F10133">
        <w:rPr>
          <w:rFonts w:ascii="Times New Roman" w:eastAsia="Times New Roman" w:hAnsi="Times New Roman" w:cs="Times New Roman"/>
        </w:rPr>
        <w:t>-</w:t>
      </w:r>
      <w:r>
        <w:rPr>
          <w:rFonts w:ascii="Times New Roman" w:eastAsia="Times New Roman" w:hAnsi="Times New Roman" w:cs="Times New Roman"/>
        </w:rPr>
        <w:t>bank Guidance</w:t>
      </w:r>
      <w:r w:rsidRPr="00D732F2">
        <w:rPr>
          <w:rFonts w:ascii="Times New Roman" w:eastAsia="Times New Roman" w:hAnsi="Times New Roman" w:cs="Times New Roman"/>
        </w:rPr>
        <w:t xml:space="preserve"> </w:t>
      </w:r>
      <w:r w:rsidR="00E44E84">
        <w:rPr>
          <w:rFonts w:ascii="Times New Roman" w:eastAsia="Times New Roman" w:hAnsi="Times New Roman" w:cs="Times New Roman"/>
        </w:rPr>
        <w:t xml:space="preserve">would </w:t>
      </w:r>
      <w:r>
        <w:rPr>
          <w:rFonts w:ascii="Times New Roman" w:eastAsia="Times New Roman" w:hAnsi="Times New Roman" w:cs="Times New Roman"/>
        </w:rPr>
        <w:t xml:space="preserve">remove a requirement </w:t>
      </w:r>
      <w:r w:rsidRPr="00D732F2">
        <w:rPr>
          <w:rFonts w:ascii="Times New Roman" w:eastAsia="Times New Roman" w:hAnsi="Times New Roman" w:cs="Times New Roman"/>
        </w:rPr>
        <w:t>that FSOC</w:t>
      </w:r>
      <w:r w:rsidR="004C5266">
        <w:rPr>
          <w:rFonts w:ascii="Times New Roman" w:eastAsia="Times New Roman" w:hAnsi="Times New Roman" w:cs="Times New Roman"/>
        </w:rPr>
        <w:t>, before pursuing a Section 113 designation,</w:t>
      </w:r>
      <w:r w:rsidRPr="00D732F2">
        <w:rPr>
          <w:rFonts w:ascii="Times New Roman" w:eastAsia="Times New Roman" w:hAnsi="Times New Roman" w:cs="Times New Roman"/>
        </w:rPr>
        <w:t xml:space="preserve"> first consider </w:t>
      </w:r>
      <w:r w:rsidR="004C5266">
        <w:rPr>
          <w:rFonts w:ascii="Times New Roman" w:eastAsia="Times New Roman" w:hAnsi="Times New Roman" w:cs="Times New Roman"/>
        </w:rPr>
        <w:t>using its Section 12</w:t>
      </w:r>
      <w:r w:rsidR="0064059E">
        <w:rPr>
          <w:rFonts w:ascii="Times New Roman" w:eastAsia="Times New Roman" w:hAnsi="Times New Roman" w:cs="Times New Roman"/>
        </w:rPr>
        <w:t>0</w:t>
      </w:r>
      <w:r w:rsidR="004C5266">
        <w:rPr>
          <w:rFonts w:ascii="Times New Roman" w:eastAsia="Times New Roman" w:hAnsi="Times New Roman" w:cs="Times New Roman"/>
        </w:rPr>
        <w:t xml:space="preserve"> authority to make recommendations to</w:t>
      </w:r>
      <w:r w:rsidR="00E24E73">
        <w:rPr>
          <w:rFonts w:ascii="Times New Roman" w:eastAsia="Times New Roman" w:hAnsi="Times New Roman" w:cs="Times New Roman"/>
        </w:rPr>
        <w:t xml:space="preserve"> relevant</w:t>
      </w:r>
      <w:r w:rsidR="004C5266">
        <w:rPr>
          <w:rFonts w:ascii="Times New Roman" w:eastAsia="Times New Roman" w:hAnsi="Times New Roman" w:cs="Times New Roman"/>
        </w:rPr>
        <w:t xml:space="preserve"> financial regulators to implement regulatory changes for financial activities or practices that</w:t>
      </w:r>
      <w:r w:rsidR="00AE5332">
        <w:rPr>
          <w:rFonts w:ascii="Times New Roman" w:eastAsia="Times New Roman" w:hAnsi="Times New Roman" w:cs="Times New Roman"/>
        </w:rPr>
        <w:t xml:space="preserve"> </w:t>
      </w:r>
      <w:r w:rsidR="00306E91">
        <w:rPr>
          <w:rFonts w:ascii="Times New Roman" w:eastAsia="Times New Roman" w:hAnsi="Times New Roman" w:cs="Times New Roman"/>
        </w:rPr>
        <w:t xml:space="preserve">FSOC finds </w:t>
      </w:r>
      <w:r w:rsidR="00AE5332">
        <w:rPr>
          <w:rFonts w:ascii="Times New Roman" w:eastAsia="Times New Roman" w:hAnsi="Times New Roman" w:cs="Times New Roman"/>
        </w:rPr>
        <w:t xml:space="preserve">could </w:t>
      </w:r>
      <w:r w:rsidR="00AE5332" w:rsidRPr="00AE5332">
        <w:rPr>
          <w:rFonts w:ascii="Times New Roman" w:eastAsia="Times New Roman" w:hAnsi="Times New Roman" w:cs="Times New Roman"/>
        </w:rPr>
        <w:t xml:space="preserve">create or increase </w:t>
      </w:r>
      <w:r w:rsidR="00B44D13">
        <w:rPr>
          <w:rFonts w:ascii="Times New Roman" w:eastAsia="Times New Roman" w:hAnsi="Times New Roman" w:cs="Times New Roman"/>
        </w:rPr>
        <w:t xml:space="preserve">significant </w:t>
      </w:r>
      <w:r w:rsidR="00353FBF">
        <w:rPr>
          <w:rFonts w:ascii="Times New Roman" w:eastAsia="Times New Roman" w:hAnsi="Times New Roman" w:cs="Times New Roman"/>
        </w:rPr>
        <w:t>liquidity</w:t>
      </w:r>
      <w:r w:rsidR="00B44D13">
        <w:rPr>
          <w:rFonts w:ascii="Times New Roman" w:eastAsia="Times New Roman" w:hAnsi="Times New Roman" w:cs="Times New Roman"/>
        </w:rPr>
        <w:t>, credit, or other problems spreading across the financial system.</w:t>
      </w:r>
      <w:r w:rsidR="00B44D13">
        <w:rPr>
          <w:rStyle w:val="FootnoteReference"/>
          <w:rFonts w:ascii="Times New Roman" w:eastAsia="Times New Roman" w:hAnsi="Times New Roman" w:cs="Times New Roman"/>
        </w:rPr>
        <w:footnoteReference w:id="44"/>
      </w:r>
      <w:r w:rsidR="00536EE0">
        <w:rPr>
          <w:rFonts w:ascii="Times New Roman" w:eastAsia="Times New Roman" w:hAnsi="Times New Roman" w:cs="Times New Roman"/>
        </w:rPr>
        <w:t xml:space="preserve"> </w:t>
      </w:r>
      <w:r w:rsidR="00B44D13">
        <w:rPr>
          <w:rFonts w:ascii="Times New Roman" w:eastAsia="Times New Roman" w:hAnsi="Times New Roman" w:cs="Times New Roman"/>
        </w:rPr>
        <w:t>S</w:t>
      </w:r>
      <w:r w:rsidRPr="00D732F2">
        <w:rPr>
          <w:rFonts w:ascii="Times New Roman" w:eastAsia="Times New Roman" w:hAnsi="Times New Roman" w:cs="Times New Roman"/>
        </w:rPr>
        <w:t xml:space="preserve">econd, the 2023 Proposed </w:t>
      </w:r>
      <w:r w:rsidRPr="00D732F2">
        <w:rPr>
          <w:rFonts w:ascii="Times New Roman" w:eastAsia="Times New Roman" w:hAnsi="Times New Roman" w:cs="Times New Roman"/>
        </w:rPr>
        <w:lastRenderedPageBreak/>
        <w:t>Non</w:t>
      </w:r>
      <w:r w:rsidR="00F10133">
        <w:rPr>
          <w:rFonts w:ascii="Times New Roman" w:eastAsia="Times New Roman" w:hAnsi="Times New Roman" w:cs="Times New Roman"/>
        </w:rPr>
        <w:t>-</w:t>
      </w:r>
      <w:r w:rsidRPr="00D732F2">
        <w:rPr>
          <w:rFonts w:ascii="Times New Roman" w:eastAsia="Times New Roman" w:hAnsi="Times New Roman" w:cs="Times New Roman"/>
        </w:rPr>
        <w:t xml:space="preserve">bank Guidance </w:t>
      </w:r>
      <w:r w:rsidR="00B44D13">
        <w:rPr>
          <w:rFonts w:ascii="Times New Roman" w:eastAsia="Times New Roman" w:hAnsi="Times New Roman" w:cs="Times New Roman"/>
        </w:rPr>
        <w:t xml:space="preserve">would </w:t>
      </w:r>
      <w:r w:rsidRPr="00D732F2">
        <w:rPr>
          <w:rFonts w:ascii="Times New Roman" w:eastAsia="Times New Roman" w:hAnsi="Times New Roman" w:cs="Times New Roman"/>
        </w:rPr>
        <w:t xml:space="preserve">eliminate </w:t>
      </w:r>
      <w:r w:rsidR="00E44E84">
        <w:rPr>
          <w:rFonts w:ascii="Times New Roman" w:eastAsia="Times New Roman" w:hAnsi="Times New Roman" w:cs="Times New Roman"/>
        </w:rPr>
        <w:t>a</w:t>
      </w:r>
      <w:r w:rsidRPr="00D732F2">
        <w:rPr>
          <w:rFonts w:ascii="Times New Roman" w:eastAsia="Times New Roman" w:hAnsi="Times New Roman" w:cs="Times New Roman"/>
        </w:rPr>
        <w:t xml:space="preserve"> formal step </w:t>
      </w:r>
      <w:r w:rsidR="00E44E84">
        <w:rPr>
          <w:rFonts w:ascii="Times New Roman" w:eastAsia="Times New Roman" w:hAnsi="Times New Roman" w:cs="Times New Roman"/>
        </w:rPr>
        <w:t>established by the 2019 Non</w:t>
      </w:r>
      <w:r w:rsidR="00F10133">
        <w:rPr>
          <w:rFonts w:ascii="Times New Roman" w:eastAsia="Times New Roman" w:hAnsi="Times New Roman" w:cs="Times New Roman"/>
        </w:rPr>
        <w:t>-</w:t>
      </w:r>
      <w:r w:rsidR="00E44E84">
        <w:rPr>
          <w:rFonts w:ascii="Times New Roman" w:eastAsia="Times New Roman" w:hAnsi="Times New Roman" w:cs="Times New Roman"/>
        </w:rPr>
        <w:t xml:space="preserve">bank Guidance </w:t>
      </w:r>
      <w:r w:rsidRPr="00D732F2">
        <w:rPr>
          <w:rFonts w:ascii="Times New Roman" w:eastAsia="Times New Roman" w:hAnsi="Times New Roman" w:cs="Times New Roman"/>
        </w:rPr>
        <w:t>of first relying upon federal and state regulators to address financial stability risks presented by a particular non-bank before FSOC considers a Section 113 entity-based designation.</w:t>
      </w:r>
      <w:r w:rsidR="00B44D13">
        <w:rPr>
          <w:rStyle w:val="FootnoteReference"/>
          <w:rFonts w:ascii="Times New Roman" w:eastAsia="Times New Roman" w:hAnsi="Times New Roman" w:cs="Times New Roman"/>
        </w:rPr>
        <w:footnoteReference w:id="45"/>
      </w:r>
      <w:r w:rsidRPr="00D732F2">
        <w:rPr>
          <w:rFonts w:ascii="Times New Roman" w:eastAsia="Times New Roman" w:hAnsi="Times New Roman" w:cs="Times New Roman"/>
        </w:rPr>
        <w:t xml:space="preserve"> Third, the Proposed Non</w:t>
      </w:r>
      <w:r w:rsidR="00F10133">
        <w:rPr>
          <w:rFonts w:ascii="Times New Roman" w:eastAsia="Times New Roman" w:hAnsi="Times New Roman" w:cs="Times New Roman"/>
        </w:rPr>
        <w:t>-</w:t>
      </w:r>
      <w:r w:rsidRPr="00D732F2">
        <w:rPr>
          <w:rFonts w:ascii="Times New Roman" w:eastAsia="Times New Roman" w:hAnsi="Times New Roman" w:cs="Times New Roman"/>
        </w:rPr>
        <w:t>bank Guidance removes the requirement that a cost-benefit analysis be conducted and that the “likelihood of material financial distress” be assessed.</w:t>
      </w:r>
      <w:r w:rsidR="001A16CC">
        <w:rPr>
          <w:rStyle w:val="FootnoteReference"/>
          <w:rFonts w:ascii="Times New Roman" w:eastAsia="Times New Roman" w:hAnsi="Times New Roman" w:cs="Times New Roman"/>
        </w:rPr>
        <w:footnoteReference w:id="46"/>
      </w:r>
      <w:r w:rsidRPr="00D732F2">
        <w:rPr>
          <w:rFonts w:ascii="Times New Roman" w:eastAsia="Times New Roman" w:hAnsi="Times New Roman" w:cs="Times New Roman"/>
        </w:rPr>
        <w:t xml:space="preserve"> Interestingly, it cites the recent failure of </w:t>
      </w:r>
      <w:r w:rsidR="000C2EFD">
        <w:rPr>
          <w:rFonts w:ascii="Times New Roman" w:eastAsia="Times New Roman" w:hAnsi="Times New Roman" w:cs="Times New Roman"/>
        </w:rPr>
        <w:t>Silicon Valley Bank</w:t>
      </w:r>
      <w:r w:rsidRPr="00D732F2">
        <w:rPr>
          <w:rFonts w:ascii="Times New Roman" w:eastAsia="Times New Roman" w:hAnsi="Times New Roman" w:cs="Times New Roman"/>
        </w:rPr>
        <w:t xml:space="preserve"> as underscoring the Biden Administration’s view that having to assess the “likelihood of material financial distress” is not practical because there may not be enough time to conduct such an assessment.</w:t>
      </w:r>
      <w:r w:rsidR="007119A8">
        <w:rPr>
          <w:rStyle w:val="FootnoteReference"/>
          <w:rFonts w:ascii="Times New Roman" w:eastAsia="Times New Roman" w:hAnsi="Times New Roman" w:cs="Times New Roman"/>
        </w:rPr>
        <w:footnoteReference w:id="47"/>
      </w:r>
      <w:r w:rsidRPr="00D732F2">
        <w:rPr>
          <w:rFonts w:ascii="Times New Roman" w:eastAsia="Times New Roman" w:hAnsi="Times New Roman" w:cs="Times New Roman"/>
        </w:rPr>
        <w:t xml:space="preserve"> </w:t>
      </w:r>
    </w:p>
    <w:p w14:paraId="54EDE151" w14:textId="77777777" w:rsidR="00D732F2" w:rsidRPr="00D732F2" w:rsidRDefault="00D732F2" w:rsidP="00D732F2">
      <w:pPr>
        <w:pStyle w:val="ListParagraph"/>
        <w:spacing w:before="0" w:beforeAutospacing="0" w:after="0" w:afterAutospacing="0"/>
        <w:ind w:left="720"/>
        <w:rPr>
          <w:rFonts w:ascii="Times New Roman" w:hAnsi="Times New Roman" w:cs="Times New Roman"/>
        </w:rPr>
      </w:pPr>
      <w:r w:rsidRPr="00D732F2">
        <w:rPr>
          <w:rFonts w:ascii="Times New Roman" w:hAnsi="Times New Roman" w:cs="Times New Roman"/>
          <w:i/>
          <w:iCs/>
        </w:rPr>
        <w:t> </w:t>
      </w:r>
    </w:p>
    <w:p w14:paraId="19E3FAC2" w14:textId="0AB899D2" w:rsidR="00D732F2" w:rsidRDefault="00D732F2" w:rsidP="00D732F2">
      <w:pPr>
        <w:pStyle w:val="NormalWeb"/>
        <w:rPr>
          <w:rFonts w:ascii="Times New Roman" w:hAnsi="Times New Roman" w:cs="Times New Roman"/>
          <w:lang w:eastAsia="zh-CN"/>
        </w:rPr>
      </w:pPr>
      <w:r w:rsidRPr="001A16CC">
        <w:rPr>
          <w:rFonts w:ascii="Times New Roman" w:hAnsi="Times New Roman" w:cs="Times New Roman"/>
          <w:lang w:eastAsia="zh-CN"/>
        </w:rPr>
        <w:t>With regards to cost-benefit analysis, the 2023 Proposed Non</w:t>
      </w:r>
      <w:r w:rsidR="00F10133">
        <w:rPr>
          <w:rFonts w:ascii="Times New Roman" w:hAnsi="Times New Roman" w:cs="Times New Roman"/>
          <w:lang w:eastAsia="zh-CN"/>
        </w:rPr>
        <w:t>-</w:t>
      </w:r>
      <w:r w:rsidRPr="001A16CC">
        <w:rPr>
          <w:rFonts w:ascii="Times New Roman" w:hAnsi="Times New Roman" w:cs="Times New Roman"/>
          <w:lang w:eastAsia="zh-CN"/>
        </w:rPr>
        <w:t xml:space="preserve">bank Guidance indicates that the Biden Administration believes that the 2016 U.S. District Court MetLife decision to throw out MetLife’s designation does not require FSOC to consider the potential costs of a non-bank’s FSOC designation and resulting regulation. </w:t>
      </w:r>
      <w:r w:rsidR="00D777AC">
        <w:rPr>
          <w:rFonts w:ascii="Times New Roman" w:hAnsi="Times New Roman" w:cs="Times New Roman"/>
          <w:lang w:eastAsia="zh-CN"/>
        </w:rPr>
        <w:t xml:space="preserve">In a footnote, it states </w:t>
      </w:r>
      <w:r w:rsidRPr="001A16CC">
        <w:rPr>
          <w:rFonts w:ascii="Times New Roman" w:hAnsi="Times New Roman" w:cs="Times New Roman"/>
          <w:lang w:eastAsia="zh-CN"/>
        </w:rPr>
        <w:t>that</w:t>
      </w:r>
      <w:r w:rsidR="007E74B1">
        <w:rPr>
          <w:rFonts w:ascii="Times New Roman" w:hAnsi="Times New Roman" w:cs="Times New Roman"/>
          <w:lang w:eastAsia="zh-CN"/>
        </w:rPr>
        <w:t xml:space="preserve"> this decision </w:t>
      </w:r>
      <w:r w:rsidR="00474709">
        <w:rPr>
          <w:rFonts w:ascii="Times New Roman" w:hAnsi="Times New Roman" w:cs="Times New Roman"/>
          <w:lang w:eastAsia="zh-CN"/>
        </w:rPr>
        <w:t>“</w:t>
      </w:r>
      <w:r w:rsidRPr="001A16CC">
        <w:rPr>
          <w:rFonts w:ascii="Times New Roman" w:hAnsi="Times New Roman" w:cs="Times New Roman"/>
          <w:lang w:eastAsia="zh-CN"/>
        </w:rPr>
        <w:t xml:space="preserve">held that </w:t>
      </w:r>
      <w:r w:rsidR="007119A8">
        <w:rPr>
          <w:rFonts w:ascii="Times New Roman" w:hAnsi="Times New Roman" w:cs="Times New Roman"/>
          <w:lang w:eastAsia="zh-CN"/>
        </w:rPr>
        <w:t xml:space="preserve">[FSOC] </w:t>
      </w:r>
      <w:r w:rsidRPr="001A16CC">
        <w:rPr>
          <w:rFonts w:ascii="Times New Roman" w:hAnsi="Times New Roman" w:cs="Times New Roman"/>
          <w:lang w:eastAsia="zh-CN"/>
        </w:rPr>
        <w:t>should have considered the potential costs of designation before designating MetLife, Inc. under section 113, but the Court’s reasoning assumes that a company’s likelihood of material financial distress is itself a required consideration under the Council’s guidance in effect at that time.”</w:t>
      </w:r>
      <w:r w:rsidR="007119A8">
        <w:rPr>
          <w:rStyle w:val="FootnoteReference"/>
          <w:rFonts w:ascii="Times New Roman" w:hAnsi="Times New Roman" w:cs="Times New Roman"/>
          <w:lang w:eastAsia="zh-CN"/>
        </w:rPr>
        <w:footnoteReference w:id="48"/>
      </w:r>
      <w:r w:rsidRPr="001A16CC">
        <w:rPr>
          <w:rFonts w:ascii="Times New Roman" w:hAnsi="Times New Roman" w:cs="Times New Roman"/>
          <w:lang w:eastAsia="zh-CN"/>
        </w:rPr>
        <w:t xml:space="preserve"> The footnote and accompanying text suggest that the Biden Administration believes that FSOC is not required to consider the costs incurred by a particular firm </w:t>
      </w:r>
      <w:r w:rsidR="0056046E">
        <w:rPr>
          <w:rFonts w:ascii="Times New Roman" w:hAnsi="Times New Roman" w:cs="Times New Roman"/>
          <w:lang w:eastAsia="zh-CN"/>
        </w:rPr>
        <w:t>as a result of</w:t>
      </w:r>
      <w:r w:rsidRPr="001A16CC">
        <w:rPr>
          <w:rFonts w:ascii="Times New Roman" w:hAnsi="Times New Roman" w:cs="Times New Roman"/>
          <w:lang w:eastAsia="zh-CN"/>
        </w:rPr>
        <w:t xml:space="preserve"> FSOC designation and Fed regulation because, among other things: 1) the Proposed Non</w:t>
      </w:r>
      <w:r w:rsidR="00F10133">
        <w:rPr>
          <w:rFonts w:ascii="Times New Roman" w:hAnsi="Times New Roman" w:cs="Times New Roman"/>
          <w:lang w:eastAsia="zh-CN"/>
        </w:rPr>
        <w:t>-</w:t>
      </w:r>
      <w:r w:rsidRPr="001A16CC">
        <w:rPr>
          <w:rFonts w:ascii="Times New Roman" w:hAnsi="Times New Roman" w:cs="Times New Roman"/>
          <w:lang w:eastAsia="zh-CN"/>
        </w:rPr>
        <w:t>bank Guidance makes clear that FSOC</w:t>
      </w:r>
      <w:r w:rsidR="007A1966">
        <w:rPr>
          <w:rFonts w:ascii="Times New Roman" w:hAnsi="Times New Roman" w:cs="Times New Roman"/>
          <w:lang w:eastAsia="zh-CN"/>
        </w:rPr>
        <w:t xml:space="preserve"> believes it</w:t>
      </w:r>
      <w:r w:rsidRPr="001A16CC">
        <w:rPr>
          <w:rFonts w:ascii="Times New Roman" w:hAnsi="Times New Roman" w:cs="Times New Roman"/>
          <w:lang w:eastAsia="zh-CN"/>
        </w:rPr>
        <w:t xml:space="preserve"> is not required to consider a non-bank’s likelihood of material financial distress, and 2) in the final 2018 MetLife settlement agreement, “MetLife expressly waived any right to argue that the cost-benefit portion of the district court’s opinion had any preclusive effect in any future proceeding before the Council or in any subsequent litigation.”</w:t>
      </w:r>
      <w:r w:rsidR="007119A8">
        <w:rPr>
          <w:rStyle w:val="FootnoteReference"/>
          <w:rFonts w:ascii="Times New Roman" w:hAnsi="Times New Roman" w:cs="Times New Roman"/>
          <w:lang w:eastAsia="zh-CN"/>
        </w:rPr>
        <w:footnoteReference w:id="49"/>
      </w:r>
    </w:p>
    <w:p w14:paraId="6B62BF74" w14:textId="77777777" w:rsidR="00FC74FA" w:rsidRDefault="00FC74FA" w:rsidP="00D732F2">
      <w:pPr>
        <w:pStyle w:val="NormalWeb"/>
        <w:rPr>
          <w:rFonts w:ascii="Times New Roman" w:hAnsi="Times New Roman" w:cs="Times New Roman"/>
          <w:lang w:eastAsia="zh-CN"/>
        </w:rPr>
      </w:pPr>
    </w:p>
    <w:p w14:paraId="2C2161FF" w14:textId="3922F6AB" w:rsidR="00FC74FA" w:rsidRPr="001A16CC" w:rsidRDefault="00DE76AB" w:rsidP="00D732F2">
      <w:pPr>
        <w:pStyle w:val="NormalWeb"/>
        <w:rPr>
          <w:rFonts w:ascii="Times New Roman" w:hAnsi="Times New Roman" w:cs="Times New Roman"/>
          <w:color w:val="000000"/>
        </w:rPr>
      </w:pPr>
      <w:r w:rsidRPr="00B533DD">
        <w:rPr>
          <w:rFonts w:ascii="Times New Roman" w:hAnsi="Times New Roman" w:cs="Times New Roman"/>
          <w:lang w:eastAsia="zh-CN"/>
        </w:rPr>
        <w:t xml:space="preserve">Importantly, </w:t>
      </w:r>
      <w:r w:rsidR="0038333F" w:rsidRPr="00B533DD">
        <w:rPr>
          <w:rFonts w:ascii="Times New Roman" w:hAnsi="Times New Roman" w:cs="Times New Roman"/>
          <w:lang w:eastAsia="zh-CN"/>
        </w:rPr>
        <w:t xml:space="preserve">FSOC strongly emphasizes in the </w:t>
      </w:r>
      <w:r w:rsidRPr="00B533DD">
        <w:rPr>
          <w:rFonts w:ascii="Times New Roman" w:hAnsi="Times New Roman" w:cs="Times New Roman"/>
          <w:lang w:eastAsia="zh-CN"/>
        </w:rPr>
        <w:t>2023 Proposed Non</w:t>
      </w:r>
      <w:r w:rsidR="00F10133" w:rsidRPr="00B533DD">
        <w:rPr>
          <w:rFonts w:ascii="Times New Roman" w:hAnsi="Times New Roman" w:cs="Times New Roman"/>
          <w:lang w:eastAsia="zh-CN"/>
        </w:rPr>
        <w:t>-</w:t>
      </w:r>
      <w:r w:rsidRPr="00B533DD">
        <w:rPr>
          <w:rFonts w:ascii="Times New Roman" w:hAnsi="Times New Roman" w:cs="Times New Roman"/>
          <w:lang w:eastAsia="zh-CN"/>
        </w:rPr>
        <w:t xml:space="preserve">bank Guidance </w:t>
      </w:r>
      <w:r w:rsidR="0038333F" w:rsidRPr="00B533DD">
        <w:rPr>
          <w:rFonts w:ascii="Times New Roman" w:hAnsi="Times New Roman" w:cs="Times New Roman"/>
          <w:lang w:eastAsia="zh-CN"/>
        </w:rPr>
        <w:t>that</w:t>
      </w:r>
      <w:r w:rsidR="00075715" w:rsidRPr="00B533DD">
        <w:rPr>
          <w:rFonts w:ascii="Times New Roman" w:hAnsi="Times New Roman" w:cs="Times New Roman"/>
          <w:lang w:eastAsia="zh-CN"/>
        </w:rPr>
        <w:t xml:space="preserve"> the guidance </w:t>
      </w:r>
      <w:r w:rsidR="00FC5909" w:rsidRPr="00B533DD">
        <w:rPr>
          <w:rFonts w:ascii="Times New Roman" w:hAnsi="Times New Roman" w:cs="Times New Roman"/>
          <w:lang w:eastAsia="zh-CN"/>
        </w:rPr>
        <w:t>would</w:t>
      </w:r>
      <w:r w:rsidR="00075715" w:rsidRPr="00B533DD">
        <w:rPr>
          <w:rFonts w:ascii="Times New Roman" w:hAnsi="Times New Roman" w:cs="Times New Roman"/>
          <w:lang w:eastAsia="zh-CN"/>
        </w:rPr>
        <w:t xml:space="preserve"> “</w:t>
      </w:r>
      <w:r w:rsidR="00FC5909" w:rsidRPr="00B533DD">
        <w:rPr>
          <w:rFonts w:ascii="Times New Roman" w:hAnsi="Times New Roman" w:cs="Times New Roman"/>
          <w:lang w:eastAsia="zh-CN"/>
        </w:rPr>
        <w:t>not have binding effect</w:t>
      </w:r>
      <w:r w:rsidR="0038333F" w:rsidRPr="00B533DD">
        <w:rPr>
          <w:rFonts w:ascii="Times New Roman" w:hAnsi="Times New Roman" w:cs="Times New Roman"/>
          <w:lang w:eastAsia="zh-CN"/>
        </w:rPr>
        <w:t>,</w:t>
      </w:r>
      <w:r w:rsidR="00075715" w:rsidRPr="00B533DD">
        <w:rPr>
          <w:rFonts w:ascii="Times New Roman" w:hAnsi="Times New Roman" w:cs="Times New Roman"/>
          <w:lang w:eastAsia="zh-CN"/>
        </w:rPr>
        <w:t>”</w:t>
      </w:r>
      <w:r w:rsidR="0038333F" w:rsidRPr="00B533DD">
        <w:rPr>
          <w:rFonts w:ascii="Times New Roman" w:hAnsi="Times New Roman" w:cs="Times New Roman"/>
          <w:lang w:eastAsia="zh-CN"/>
        </w:rPr>
        <w:t xml:space="preserve"> </w:t>
      </w:r>
      <w:r w:rsidR="00FC5909" w:rsidRPr="00B533DD">
        <w:rPr>
          <w:rFonts w:ascii="Times New Roman" w:hAnsi="Times New Roman" w:cs="Times New Roman"/>
          <w:lang w:eastAsia="zh-CN"/>
        </w:rPr>
        <w:t xml:space="preserve">and </w:t>
      </w:r>
      <w:r w:rsidR="0038333F" w:rsidRPr="00B533DD">
        <w:rPr>
          <w:rFonts w:ascii="Times New Roman" w:hAnsi="Times New Roman" w:cs="Times New Roman"/>
          <w:lang w:eastAsia="zh-CN"/>
        </w:rPr>
        <w:t xml:space="preserve">if finalized, FSOC would not need to follow the guidance </w:t>
      </w:r>
      <w:r w:rsidR="005D03C5" w:rsidRPr="00B533DD">
        <w:rPr>
          <w:rFonts w:ascii="Times New Roman" w:hAnsi="Times New Roman" w:cs="Times New Roman"/>
          <w:lang w:eastAsia="zh-CN"/>
        </w:rPr>
        <w:t xml:space="preserve">were it to determine </w:t>
      </w:r>
      <w:r w:rsidR="00FA0B87" w:rsidRPr="00B533DD">
        <w:rPr>
          <w:rFonts w:ascii="Times New Roman" w:hAnsi="Times New Roman" w:cs="Times New Roman"/>
          <w:lang w:eastAsia="zh-CN"/>
        </w:rPr>
        <w:t>that</w:t>
      </w:r>
      <w:r w:rsidR="005D03C5" w:rsidRPr="00B533DD">
        <w:rPr>
          <w:rFonts w:ascii="Times New Roman" w:hAnsi="Times New Roman" w:cs="Times New Roman"/>
          <w:lang w:eastAsia="zh-CN"/>
        </w:rPr>
        <w:t xml:space="preserve"> </w:t>
      </w:r>
      <w:r w:rsidR="007310C0" w:rsidRPr="00B533DD">
        <w:rPr>
          <w:rFonts w:ascii="Times New Roman" w:hAnsi="Times New Roman" w:cs="Times New Roman"/>
          <w:lang w:eastAsia="zh-CN"/>
        </w:rPr>
        <w:t xml:space="preserve">Dodd-Frank Act </w:t>
      </w:r>
      <w:r w:rsidR="00FA0B87" w:rsidRPr="00B533DD">
        <w:rPr>
          <w:rFonts w:ascii="Times New Roman" w:hAnsi="Times New Roman" w:cs="Times New Roman"/>
          <w:lang w:eastAsia="zh-CN"/>
        </w:rPr>
        <w:t xml:space="preserve">Section 113(f) emergency actions </w:t>
      </w:r>
      <w:r w:rsidR="000E11EF" w:rsidRPr="00B533DD">
        <w:rPr>
          <w:rFonts w:ascii="Times New Roman" w:hAnsi="Times New Roman" w:cs="Times New Roman"/>
          <w:lang w:eastAsia="zh-CN"/>
        </w:rPr>
        <w:t xml:space="preserve">were </w:t>
      </w:r>
      <w:r w:rsidR="00FA0B87" w:rsidRPr="00B533DD">
        <w:rPr>
          <w:rFonts w:ascii="Times New Roman" w:hAnsi="Times New Roman" w:cs="Times New Roman"/>
          <w:lang w:eastAsia="zh-CN"/>
        </w:rPr>
        <w:t>necessary.</w:t>
      </w:r>
      <w:r w:rsidR="004C5C15" w:rsidRPr="00B533DD">
        <w:rPr>
          <w:rStyle w:val="FootnoteReference"/>
          <w:rFonts w:ascii="Times New Roman" w:hAnsi="Times New Roman" w:cs="Times New Roman"/>
          <w:lang w:eastAsia="zh-CN"/>
        </w:rPr>
        <w:footnoteReference w:id="50"/>
      </w:r>
      <w:r w:rsidR="004D5CDE" w:rsidRPr="00B533DD">
        <w:rPr>
          <w:rFonts w:ascii="Times New Roman" w:hAnsi="Times New Roman" w:cs="Times New Roman"/>
          <w:lang w:eastAsia="zh-CN"/>
        </w:rPr>
        <w:t xml:space="preserve"> </w:t>
      </w:r>
      <w:r w:rsidR="00494D0C" w:rsidRPr="00B533DD">
        <w:rPr>
          <w:rFonts w:ascii="Times New Roman" w:hAnsi="Times New Roman" w:cs="Times New Roman"/>
          <w:lang w:eastAsia="zh-CN"/>
        </w:rPr>
        <w:t xml:space="preserve">In doing so, it notes that FSOC has concluded that its designation process is not subject to notice and comment requirements </w:t>
      </w:r>
      <w:r w:rsidR="00F0204D" w:rsidRPr="00B533DD">
        <w:rPr>
          <w:rFonts w:ascii="Times New Roman" w:hAnsi="Times New Roman" w:cs="Times New Roman"/>
          <w:lang w:eastAsia="zh-CN"/>
        </w:rPr>
        <w:t xml:space="preserve">under </w:t>
      </w:r>
      <w:r w:rsidR="00494D0C" w:rsidRPr="00B533DD">
        <w:rPr>
          <w:rFonts w:ascii="Times New Roman" w:hAnsi="Times New Roman" w:cs="Times New Roman"/>
          <w:lang w:eastAsia="zh-CN"/>
        </w:rPr>
        <w:t>the Administrative Procedure Act</w:t>
      </w:r>
      <w:r w:rsidR="004C5C15" w:rsidRPr="00B533DD">
        <w:rPr>
          <w:rFonts w:ascii="Times New Roman" w:hAnsi="Times New Roman" w:cs="Times New Roman"/>
          <w:lang w:eastAsia="zh-CN"/>
        </w:rPr>
        <w:t>.</w:t>
      </w:r>
      <w:r w:rsidR="004C5C15" w:rsidRPr="00B533DD">
        <w:rPr>
          <w:rStyle w:val="FootnoteReference"/>
          <w:rFonts w:ascii="Times New Roman" w:hAnsi="Times New Roman" w:cs="Times New Roman"/>
          <w:lang w:eastAsia="zh-CN"/>
        </w:rPr>
        <w:footnoteReference w:id="51"/>
      </w:r>
      <w:r w:rsidR="004C5C15" w:rsidRPr="00B533DD">
        <w:rPr>
          <w:rFonts w:ascii="Times New Roman" w:hAnsi="Times New Roman" w:cs="Times New Roman"/>
          <w:lang w:eastAsia="zh-CN"/>
        </w:rPr>
        <w:t xml:space="preserve"> </w:t>
      </w:r>
      <w:r w:rsidR="004C5C15" w:rsidRPr="001A5CCE">
        <w:rPr>
          <w:rFonts w:ascii="Times New Roman" w:hAnsi="Times New Roman" w:cs="Times New Roman"/>
          <w:lang w:eastAsia="zh-CN"/>
        </w:rPr>
        <w:t>Finally</w:t>
      </w:r>
      <w:r w:rsidR="00FC74FA">
        <w:rPr>
          <w:rFonts w:ascii="Times New Roman" w:hAnsi="Times New Roman" w:cs="Times New Roman"/>
          <w:lang w:eastAsia="zh-CN"/>
        </w:rPr>
        <w:t xml:space="preserve">, </w:t>
      </w:r>
      <w:r w:rsidR="00474709">
        <w:rPr>
          <w:rFonts w:ascii="Times New Roman" w:hAnsi="Times New Roman" w:cs="Times New Roman"/>
          <w:lang w:eastAsia="zh-CN"/>
        </w:rPr>
        <w:t xml:space="preserve">it </w:t>
      </w:r>
      <w:r>
        <w:rPr>
          <w:rFonts w:ascii="Times New Roman" w:hAnsi="Times New Roman" w:cs="Times New Roman"/>
          <w:lang w:eastAsia="zh-CN"/>
        </w:rPr>
        <w:t xml:space="preserve">is noteworthy </w:t>
      </w:r>
      <w:r w:rsidR="00474709">
        <w:rPr>
          <w:rFonts w:ascii="Times New Roman" w:hAnsi="Times New Roman" w:cs="Times New Roman"/>
          <w:lang w:eastAsia="zh-CN"/>
        </w:rPr>
        <w:t xml:space="preserve">that </w:t>
      </w:r>
      <w:r w:rsidR="00FC74FA">
        <w:rPr>
          <w:rFonts w:ascii="Times New Roman" w:hAnsi="Times New Roman" w:cs="Times New Roman"/>
          <w:lang w:eastAsia="zh-CN"/>
        </w:rPr>
        <w:t xml:space="preserve">the </w:t>
      </w:r>
      <w:r w:rsidR="00914CFA">
        <w:rPr>
          <w:rFonts w:ascii="Times New Roman" w:hAnsi="Times New Roman" w:cs="Times New Roman"/>
          <w:lang w:eastAsia="zh-CN"/>
        </w:rPr>
        <w:t xml:space="preserve">2023 Proposed </w:t>
      </w:r>
      <w:r w:rsidR="00DE5B05">
        <w:rPr>
          <w:rFonts w:ascii="Times New Roman" w:hAnsi="Times New Roman" w:cs="Times New Roman"/>
          <w:lang w:eastAsia="zh-CN"/>
        </w:rPr>
        <w:t>Non</w:t>
      </w:r>
      <w:r w:rsidR="006333A4">
        <w:rPr>
          <w:rFonts w:ascii="Times New Roman" w:hAnsi="Times New Roman" w:cs="Times New Roman"/>
          <w:lang w:eastAsia="zh-CN"/>
        </w:rPr>
        <w:t>-</w:t>
      </w:r>
      <w:r w:rsidR="00DE5B05">
        <w:rPr>
          <w:rFonts w:ascii="Times New Roman" w:hAnsi="Times New Roman" w:cs="Times New Roman"/>
          <w:lang w:eastAsia="zh-CN"/>
        </w:rPr>
        <w:t xml:space="preserve">bank Guidance </w:t>
      </w:r>
      <w:r w:rsidR="00AA2C0F">
        <w:rPr>
          <w:rFonts w:ascii="Times New Roman" w:hAnsi="Times New Roman" w:cs="Times New Roman"/>
          <w:lang w:eastAsia="zh-CN"/>
        </w:rPr>
        <w:t>leaves out q</w:t>
      </w:r>
      <w:r w:rsidR="00DE5B05">
        <w:rPr>
          <w:rFonts w:ascii="Times New Roman" w:hAnsi="Times New Roman" w:cs="Times New Roman"/>
          <w:lang w:eastAsia="zh-CN"/>
        </w:rPr>
        <w:t>uantitative thresholds for Section 113 non-bank designation</w:t>
      </w:r>
      <w:r w:rsidR="00BB19CA">
        <w:rPr>
          <w:rFonts w:ascii="Times New Roman" w:hAnsi="Times New Roman" w:cs="Times New Roman"/>
          <w:lang w:eastAsia="zh-CN"/>
        </w:rPr>
        <w:t>, such as those</w:t>
      </w:r>
      <w:r w:rsidR="00DE5B05">
        <w:rPr>
          <w:rFonts w:ascii="Times New Roman" w:hAnsi="Times New Roman" w:cs="Times New Roman"/>
          <w:lang w:eastAsia="zh-CN"/>
        </w:rPr>
        <w:t xml:space="preserve"> that were in </w:t>
      </w:r>
      <w:r w:rsidR="00DC042B">
        <w:rPr>
          <w:rFonts w:ascii="Times New Roman" w:hAnsi="Times New Roman" w:cs="Times New Roman"/>
          <w:lang w:eastAsia="zh-CN"/>
        </w:rPr>
        <w:t xml:space="preserve">the </w:t>
      </w:r>
      <w:r w:rsidR="00DE5B05">
        <w:rPr>
          <w:rFonts w:ascii="Times New Roman" w:hAnsi="Times New Roman" w:cs="Times New Roman"/>
          <w:lang w:eastAsia="zh-CN"/>
        </w:rPr>
        <w:t>Obama Administration</w:t>
      </w:r>
      <w:r w:rsidR="00DC042B">
        <w:rPr>
          <w:rFonts w:ascii="Times New Roman" w:hAnsi="Times New Roman" w:cs="Times New Roman"/>
          <w:lang w:eastAsia="zh-CN"/>
        </w:rPr>
        <w:t>’s 2012 Non-bank Guidance</w:t>
      </w:r>
      <w:r w:rsidR="00DE5B05">
        <w:rPr>
          <w:rFonts w:ascii="Times New Roman" w:hAnsi="Times New Roman" w:cs="Times New Roman"/>
          <w:lang w:eastAsia="zh-CN"/>
        </w:rPr>
        <w:t>.</w:t>
      </w:r>
      <w:r w:rsidR="00DE5B05">
        <w:rPr>
          <w:rStyle w:val="FootnoteReference"/>
          <w:rFonts w:ascii="Times New Roman" w:hAnsi="Times New Roman" w:cs="Times New Roman"/>
          <w:lang w:eastAsia="zh-CN"/>
        </w:rPr>
        <w:footnoteReference w:id="52"/>
      </w:r>
      <w:r w:rsidR="00DE5B05">
        <w:rPr>
          <w:rFonts w:ascii="Times New Roman" w:hAnsi="Times New Roman" w:cs="Times New Roman"/>
          <w:lang w:eastAsia="zh-CN"/>
        </w:rPr>
        <w:t xml:space="preserve"> </w:t>
      </w:r>
      <w:r w:rsidR="00BD4118">
        <w:rPr>
          <w:rFonts w:ascii="Times New Roman" w:hAnsi="Times New Roman" w:cs="Times New Roman"/>
          <w:lang w:eastAsia="zh-CN"/>
        </w:rPr>
        <w:t xml:space="preserve">This may be </w:t>
      </w:r>
      <w:r w:rsidR="002804C9">
        <w:rPr>
          <w:rFonts w:ascii="Times New Roman" w:hAnsi="Times New Roman" w:cs="Times New Roman"/>
          <w:lang w:eastAsia="zh-CN"/>
        </w:rPr>
        <w:t xml:space="preserve">the case </w:t>
      </w:r>
      <w:r w:rsidR="000D4883">
        <w:rPr>
          <w:rFonts w:ascii="Times New Roman" w:hAnsi="Times New Roman" w:cs="Times New Roman"/>
          <w:lang w:eastAsia="zh-CN"/>
        </w:rPr>
        <w:t xml:space="preserve">in order </w:t>
      </w:r>
      <w:r w:rsidR="00C174D2">
        <w:rPr>
          <w:rFonts w:ascii="Times New Roman" w:hAnsi="Times New Roman" w:cs="Times New Roman"/>
          <w:lang w:eastAsia="zh-CN"/>
        </w:rPr>
        <w:t xml:space="preserve">to </w:t>
      </w:r>
      <w:r w:rsidR="003428AB">
        <w:rPr>
          <w:rFonts w:ascii="Times New Roman" w:hAnsi="Times New Roman" w:cs="Times New Roman"/>
          <w:lang w:eastAsia="zh-CN"/>
        </w:rPr>
        <w:t xml:space="preserve">ensure </w:t>
      </w:r>
      <w:r w:rsidR="00980648">
        <w:rPr>
          <w:rFonts w:ascii="Times New Roman" w:hAnsi="Times New Roman" w:cs="Times New Roman"/>
          <w:lang w:eastAsia="zh-CN"/>
        </w:rPr>
        <w:t xml:space="preserve">that </w:t>
      </w:r>
      <w:r w:rsidR="00C174D2">
        <w:rPr>
          <w:rFonts w:ascii="Times New Roman" w:hAnsi="Times New Roman" w:cs="Times New Roman"/>
          <w:lang w:eastAsia="zh-CN"/>
        </w:rPr>
        <w:t>FSOC</w:t>
      </w:r>
      <w:r w:rsidR="00AB0583">
        <w:rPr>
          <w:rFonts w:ascii="Times New Roman" w:hAnsi="Times New Roman" w:cs="Times New Roman"/>
          <w:lang w:eastAsia="zh-CN"/>
        </w:rPr>
        <w:t xml:space="preserve"> ha</w:t>
      </w:r>
      <w:r w:rsidR="00C174D2">
        <w:rPr>
          <w:rFonts w:ascii="Times New Roman" w:hAnsi="Times New Roman" w:cs="Times New Roman"/>
          <w:lang w:eastAsia="zh-CN"/>
        </w:rPr>
        <w:t>s</w:t>
      </w:r>
      <w:r w:rsidR="00AB0583">
        <w:rPr>
          <w:rFonts w:ascii="Times New Roman" w:hAnsi="Times New Roman" w:cs="Times New Roman"/>
          <w:lang w:eastAsia="zh-CN"/>
        </w:rPr>
        <w:t xml:space="preserve"> the</w:t>
      </w:r>
      <w:r w:rsidR="00C174D2">
        <w:rPr>
          <w:rFonts w:ascii="Times New Roman" w:hAnsi="Times New Roman" w:cs="Times New Roman"/>
          <w:lang w:eastAsia="zh-CN"/>
        </w:rPr>
        <w:t xml:space="preserve"> ability to designate a broad range of non-banks</w:t>
      </w:r>
      <w:r w:rsidR="008A5902">
        <w:rPr>
          <w:rFonts w:ascii="Times New Roman" w:hAnsi="Times New Roman" w:cs="Times New Roman"/>
          <w:lang w:eastAsia="zh-CN"/>
        </w:rPr>
        <w:t xml:space="preserve"> under Section 113</w:t>
      </w:r>
      <w:r w:rsidR="003428AB">
        <w:rPr>
          <w:rFonts w:ascii="Times New Roman" w:hAnsi="Times New Roman" w:cs="Times New Roman"/>
          <w:lang w:eastAsia="zh-CN"/>
        </w:rPr>
        <w:t xml:space="preserve"> – including those that may fall below a particular threshold.</w:t>
      </w:r>
    </w:p>
    <w:p w14:paraId="548F9D48" w14:textId="77777777" w:rsidR="00897E90" w:rsidRDefault="00897E90" w:rsidP="00C71A8A">
      <w:pPr>
        <w:pStyle w:val="NormalWeb"/>
        <w:rPr>
          <w:rFonts w:ascii="Times New Roman" w:hAnsi="Times New Roman" w:cs="Times New Roman"/>
          <w:color w:val="000000"/>
        </w:rPr>
      </w:pPr>
    </w:p>
    <w:p w14:paraId="49A016BB" w14:textId="0481CAEB" w:rsidR="00102F75" w:rsidRPr="00AB03F5" w:rsidRDefault="00102F75" w:rsidP="0031794E">
      <w:pPr>
        <w:pStyle w:val="NormalWeb"/>
        <w:rPr>
          <w:rFonts w:ascii="Times New Roman" w:hAnsi="Times New Roman" w:cs="Times New Roman"/>
          <w:b/>
          <w:bCs/>
          <w:i/>
          <w:iCs/>
          <w:color w:val="2F5496" w:themeColor="accent1" w:themeShade="BF"/>
        </w:rPr>
      </w:pPr>
      <w:r w:rsidRPr="00AB03F5">
        <w:rPr>
          <w:rFonts w:ascii="Times New Roman" w:hAnsi="Times New Roman" w:cs="Times New Roman"/>
          <w:b/>
          <w:bCs/>
          <w:i/>
          <w:iCs/>
          <w:color w:val="2F5496" w:themeColor="accent1" w:themeShade="BF"/>
        </w:rPr>
        <w:tab/>
      </w:r>
      <w:r w:rsidRPr="00AB03F5">
        <w:rPr>
          <w:rFonts w:ascii="Times New Roman" w:hAnsi="Times New Roman" w:cs="Times New Roman"/>
          <w:b/>
          <w:bCs/>
          <w:color w:val="2F5496" w:themeColor="accent1" w:themeShade="BF"/>
        </w:rPr>
        <w:t>B)</w:t>
      </w:r>
      <w:r w:rsidRPr="00AB03F5">
        <w:rPr>
          <w:rFonts w:ascii="Times New Roman" w:hAnsi="Times New Roman" w:cs="Times New Roman"/>
          <w:b/>
          <w:bCs/>
          <w:i/>
          <w:iCs/>
          <w:color w:val="2F5496" w:themeColor="accent1" w:themeShade="BF"/>
        </w:rPr>
        <w:t xml:space="preserve"> </w:t>
      </w:r>
      <w:r w:rsidR="00774DFF" w:rsidRPr="00AB03F5">
        <w:rPr>
          <w:rFonts w:ascii="Times New Roman" w:hAnsi="Times New Roman" w:cs="Times New Roman"/>
          <w:b/>
          <w:bCs/>
          <w:i/>
          <w:iCs/>
          <w:color w:val="2F5496" w:themeColor="accent1" w:themeShade="BF"/>
        </w:rPr>
        <w:t xml:space="preserve">Definitional shifts </w:t>
      </w:r>
      <w:r w:rsidR="00882920" w:rsidRPr="00AB03F5">
        <w:rPr>
          <w:rFonts w:ascii="Times New Roman" w:hAnsi="Times New Roman" w:cs="Times New Roman"/>
          <w:b/>
          <w:bCs/>
          <w:i/>
          <w:iCs/>
          <w:color w:val="2F5496" w:themeColor="accent1" w:themeShade="BF"/>
        </w:rPr>
        <w:t xml:space="preserve">set the stage for FSOC to identity a wide range of activities and </w:t>
      </w:r>
    </w:p>
    <w:p w14:paraId="55C6F96F" w14:textId="1F642633" w:rsidR="0031794E" w:rsidRPr="00AB03F5" w:rsidRDefault="00102F75" w:rsidP="0031794E">
      <w:pPr>
        <w:pStyle w:val="NormalWeb"/>
        <w:rPr>
          <w:rFonts w:ascii="Times New Roman" w:hAnsi="Times New Roman" w:cs="Times New Roman"/>
          <w:b/>
          <w:bCs/>
          <w:i/>
          <w:iCs/>
          <w:color w:val="2F5496" w:themeColor="accent1" w:themeShade="BF"/>
        </w:rPr>
      </w:pPr>
      <w:r w:rsidRPr="00AB03F5">
        <w:rPr>
          <w:rFonts w:ascii="Times New Roman" w:hAnsi="Times New Roman" w:cs="Times New Roman"/>
          <w:b/>
          <w:bCs/>
          <w:i/>
          <w:iCs/>
          <w:color w:val="2F5496" w:themeColor="accent1" w:themeShade="BF"/>
        </w:rPr>
        <w:tab/>
        <w:t xml:space="preserve">     </w:t>
      </w:r>
      <w:r w:rsidR="00AB03F5" w:rsidRPr="00AB03F5">
        <w:rPr>
          <w:rFonts w:ascii="Times New Roman" w:hAnsi="Times New Roman" w:cs="Times New Roman"/>
          <w:b/>
          <w:bCs/>
          <w:i/>
          <w:iCs/>
          <w:color w:val="2F5496" w:themeColor="accent1" w:themeShade="BF"/>
        </w:rPr>
        <w:t xml:space="preserve">institutions </w:t>
      </w:r>
      <w:r w:rsidR="00882920" w:rsidRPr="00AB03F5">
        <w:rPr>
          <w:rFonts w:ascii="Times New Roman" w:hAnsi="Times New Roman" w:cs="Times New Roman"/>
          <w:b/>
          <w:bCs/>
          <w:i/>
          <w:iCs/>
          <w:color w:val="2F5496" w:themeColor="accent1" w:themeShade="BF"/>
        </w:rPr>
        <w:t>as risks to “financial stability”</w:t>
      </w:r>
    </w:p>
    <w:p w14:paraId="5EA0E300" w14:textId="77777777" w:rsidR="0031794E" w:rsidRPr="00F853F0" w:rsidRDefault="0031794E" w:rsidP="0031794E">
      <w:pPr>
        <w:pStyle w:val="NormalWeb"/>
        <w:rPr>
          <w:rFonts w:ascii="Times New Roman" w:hAnsi="Times New Roman" w:cs="Times New Roman"/>
          <w:i/>
          <w:iCs/>
          <w:color w:val="000000"/>
        </w:rPr>
      </w:pPr>
    </w:p>
    <w:p w14:paraId="54528502" w14:textId="060B33B4" w:rsidR="00F853F0" w:rsidRPr="00F853F0" w:rsidRDefault="0031794E" w:rsidP="00F853F0">
      <w:pPr>
        <w:pStyle w:val="NormalWeb"/>
        <w:rPr>
          <w:rFonts w:ascii="Times New Roman" w:eastAsia="Times New Roman" w:hAnsi="Times New Roman" w:cs="Times New Roman"/>
        </w:rPr>
      </w:pPr>
      <w:r w:rsidRPr="00F853F0">
        <w:rPr>
          <w:rFonts w:ascii="Times New Roman" w:hAnsi="Times New Roman" w:cs="Times New Roman"/>
          <w:color w:val="000000"/>
        </w:rPr>
        <w:t xml:space="preserve">Obama-era </w:t>
      </w:r>
      <w:r w:rsidR="00F70F9E">
        <w:rPr>
          <w:rFonts w:ascii="Times New Roman" w:hAnsi="Times New Roman" w:cs="Times New Roman"/>
          <w:color w:val="000000"/>
        </w:rPr>
        <w:t>2012 Non</w:t>
      </w:r>
      <w:r w:rsidR="006333A4">
        <w:rPr>
          <w:rFonts w:ascii="Times New Roman" w:hAnsi="Times New Roman" w:cs="Times New Roman"/>
          <w:color w:val="000000"/>
        </w:rPr>
        <w:t>-</w:t>
      </w:r>
      <w:r w:rsidR="00F70F9E">
        <w:rPr>
          <w:rFonts w:ascii="Times New Roman" w:hAnsi="Times New Roman" w:cs="Times New Roman"/>
          <w:color w:val="000000"/>
        </w:rPr>
        <w:t xml:space="preserve">bank </w:t>
      </w:r>
      <w:r w:rsidR="00F70F9E">
        <w:rPr>
          <w:rFonts w:ascii="Times New Roman" w:eastAsia="Times New Roman" w:hAnsi="Times New Roman" w:cs="Times New Roman"/>
        </w:rPr>
        <w:t>G</w:t>
      </w:r>
      <w:r w:rsidRPr="00F853F0">
        <w:rPr>
          <w:rFonts w:ascii="Times New Roman" w:eastAsia="Times New Roman" w:hAnsi="Times New Roman" w:cs="Times New Roman"/>
        </w:rPr>
        <w:t>uidance on FSOC’s Section 113 authority did not define “risk to financial stability.”</w:t>
      </w:r>
      <w:r w:rsidRPr="00F853F0">
        <w:rPr>
          <w:rStyle w:val="FootnoteReference"/>
          <w:rFonts w:ascii="Times New Roman" w:eastAsia="Times New Roman" w:hAnsi="Times New Roman" w:cs="Times New Roman"/>
        </w:rPr>
        <w:footnoteReference w:id="53"/>
      </w:r>
      <w:r w:rsidRPr="00F853F0">
        <w:rPr>
          <w:rFonts w:ascii="Times New Roman" w:eastAsia="Times New Roman" w:hAnsi="Times New Roman" w:cs="Times New Roman"/>
        </w:rPr>
        <w:t xml:space="preserve"> </w:t>
      </w:r>
      <w:r w:rsidR="00F70F9E">
        <w:rPr>
          <w:rFonts w:ascii="Times New Roman" w:eastAsia="Times New Roman" w:hAnsi="Times New Roman" w:cs="Times New Roman"/>
        </w:rPr>
        <w:t>The e</w:t>
      </w:r>
      <w:r w:rsidR="00F853F0" w:rsidRPr="00F853F0">
        <w:rPr>
          <w:rFonts w:ascii="Times New Roman" w:eastAsia="Times New Roman" w:hAnsi="Times New Roman" w:cs="Times New Roman"/>
        </w:rPr>
        <w:t xml:space="preserve">xisting </w:t>
      </w:r>
      <w:r w:rsidR="00F70F9E">
        <w:rPr>
          <w:rFonts w:ascii="Times New Roman" w:eastAsia="Times New Roman" w:hAnsi="Times New Roman" w:cs="Times New Roman"/>
        </w:rPr>
        <w:t>2019 Non</w:t>
      </w:r>
      <w:r w:rsidR="006333A4">
        <w:rPr>
          <w:rFonts w:ascii="Times New Roman" w:eastAsia="Times New Roman" w:hAnsi="Times New Roman" w:cs="Times New Roman"/>
        </w:rPr>
        <w:t>-</w:t>
      </w:r>
      <w:r w:rsidR="00F70F9E">
        <w:rPr>
          <w:rFonts w:ascii="Times New Roman" w:eastAsia="Times New Roman" w:hAnsi="Times New Roman" w:cs="Times New Roman"/>
        </w:rPr>
        <w:t>bank G</w:t>
      </w:r>
      <w:r w:rsidR="00F853F0" w:rsidRPr="00F853F0">
        <w:rPr>
          <w:rFonts w:ascii="Times New Roman" w:eastAsia="Times New Roman" w:hAnsi="Times New Roman" w:cs="Times New Roman"/>
        </w:rPr>
        <w:t>uidance</w:t>
      </w:r>
      <w:r w:rsidR="002B0EDA">
        <w:rPr>
          <w:rFonts w:ascii="Times New Roman" w:eastAsia="Times New Roman" w:hAnsi="Times New Roman" w:cs="Times New Roman"/>
        </w:rPr>
        <w:t>, however,</w:t>
      </w:r>
      <w:r w:rsidR="00F853F0" w:rsidRPr="00F853F0">
        <w:rPr>
          <w:rFonts w:ascii="Times New Roman" w:eastAsia="Times New Roman" w:hAnsi="Times New Roman" w:cs="Times New Roman"/>
        </w:rPr>
        <w:t xml:space="preserve"> </w:t>
      </w:r>
      <w:r w:rsidRPr="00F853F0">
        <w:rPr>
          <w:rFonts w:ascii="Times New Roman" w:eastAsia="Times New Roman" w:hAnsi="Times New Roman" w:cs="Times New Roman"/>
        </w:rPr>
        <w:t>defin</w:t>
      </w:r>
      <w:r w:rsidR="002B0EDA">
        <w:rPr>
          <w:rFonts w:ascii="Times New Roman" w:eastAsia="Times New Roman" w:hAnsi="Times New Roman" w:cs="Times New Roman"/>
        </w:rPr>
        <w:t>es</w:t>
      </w:r>
      <w:r w:rsidRPr="00F853F0">
        <w:rPr>
          <w:rFonts w:ascii="Times New Roman" w:eastAsia="Times New Roman" w:hAnsi="Times New Roman" w:cs="Times New Roman"/>
        </w:rPr>
        <w:t xml:space="preserve"> it as “risk of an event or development that could impair financial intermediation or financial market functioning to a degree that would be sufficient to inflict significant damage on the broader economy.”</w:t>
      </w:r>
      <w:r w:rsidR="00F87EEF">
        <w:rPr>
          <w:rStyle w:val="FootnoteReference"/>
          <w:rFonts w:ascii="Times New Roman" w:eastAsia="Times New Roman" w:hAnsi="Times New Roman" w:cs="Times New Roman"/>
        </w:rPr>
        <w:footnoteReference w:id="54"/>
      </w:r>
      <w:r w:rsidRPr="00F853F0">
        <w:rPr>
          <w:rFonts w:ascii="Times New Roman" w:eastAsia="Times New Roman" w:hAnsi="Times New Roman" w:cs="Times New Roman"/>
        </w:rPr>
        <w:t xml:space="preserve"> The Proposed Non</w:t>
      </w:r>
      <w:r w:rsidR="006333A4">
        <w:rPr>
          <w:rFonts w:ascii="Times New Roman" w:eastAsia="Times New Roman" w:hAnsi="Times New Roman" w:cs="Times New Roman"/>
        </w:rPr>
        <w:t>-</w:t>
      </w:r>
      <w:r w:rsidRPr="00F853F0">
        <w:rPr>
          <w:rFonts w:ascii="Times New Roman" w:eastAsia="Times New Roman" w:hAnsi="Times New Roman" w:cs="Times New Roman"/>
        </w:rPr>
        <w:t xml:space="preserve">bank </w:t>
      </w:r>
      <w:r w:rsidRPr="00F853F0">
        <w:rPr>
          <w:rFonts w:ascii="Times New Roman" w:eastAsia="Times New Roman" w:hAnsi="Times New Roman" w:cs="Times New Roman"/>
        </w:rPr>
        <w:lastRenderedPageBreak/>
        <w:t>Guidance takes issue with this definition, stating that requiring FSOC “to determine that the economy ‘would’ be severely damaged, contrasts sharply with the statutory standard under section 113 of the Dodd-Frank Act,</w:t>
      </w:r>
      <w:r w:rsidR="00BB56DE">
        <w:rPr>
          <w:rFonts w:ascii="Times New Roman" w:eastAsia="Times New Roman" w:hAnsi="Times New Roman" w:cs="Times New Roman"/>
        </w:rPr>
        <w:t xml:space="preserve"> </w:t>
      </w:r>
      <w:r w:rsidRPr="00F853F0">
        <w:rPr>
          <w:rFonts w:ascii="Times New Roman" w:eastAsia="Times New Roman" w:hAnsi="Times New Roman" w:cs="Times New Roman"/>
        </w:rPr>
        <w:t>which calls on the Council to determine whether there ‘could’ be a threat to financial stability.”</w:t>
      </w:r>
      <w:r w:rsidR="00BB56DE">
        <w:rPr>
          <w:rStyle w:val="FootnoteReference"/>
          <w:rFonts w:ascii="Times New Roman" w:eastAsia="Times New Roman" w:hAnsi="Times New Roman" w:cs="Times New Roman"/>
        </w:rPr>
        <w:footnoteReference w:id="55"/>
      </w:r>
      <w:r w:rsidRPr="00F853F0">
        <w:rPr>
          <w:rFonts w:ascii="Times New Roman" w:eastAsia="Times New Roman" w:hAnsi="Times New Roman" w:cs="Times New Roman"/>
        </w:rPr>
        <w:t xml:space="preserve"> </w:t>
      </w:r>
    </w:p>
    <w:p w14:paraId="3F1B60C1" w14:textId="77777777" w:rsidR="00F853F0" w:rsidRPr="00F853F0" w:rsidRDefault="00F853F0" w:rsidP="00F853F0">
      <w:pPr>
        <w:pStyle w:val="NormalWeb"/>
        <w:rPr>
          <w:rFonts w:ascii="Times New Roman" w:eastAsia="Times New Roman" w:hAnsi="Times New Roman" w:cs="Times New Roman"/>
        </w:rPr>
      </w:pPr>
    </w:p>
    <w:p w14:paraId="5C4FB4AA" w14:textId="15C39C47" w:rsidR="0031794E" w:rsidRPr="00F853F0" w:rsidRDefault="0031794E" w:rsidP="00F853F0">
      <w:pPr>
        <w:pStyle w:val="NormalWeb"/>
        <w:rPr>
          <w:rFonts w:ascii="Times New Roman" w:hAnsi="Times New Roman" w:cs="Times New Roman"/>
          <w:color w:val="000000"/>
        </w:rPr>
      </w:pPr>
      <w:r w:rsidRPr="00F853F0">
        <w:rPr>
          <w:rFonts w:ascii="Times New Roman" w:eastAsia="Times New Roman" w:hAnsi="Times New Roman" w:cs="Times New Roman"/>
        </w:rPr>
        <w:t>Accordingly, the 2023 Proposed Framework cut</w:t>
      </w:r>
      <w:r w:rsidR="00F70F9E">
        <w:rPr>
          <w:rFonts w:ascii="Times New Roman" w:eastAsia="Times New Roman" w:hAnsi="Times New Roman" w:cs="Times New Roman"/>
        </w:rPr>
        <w:t>s</w:t>
      </w:r>
      <w:r w:rsidRPr="00F853F0">
        <w:rPr>
          <w:rFonts w:ascii="Times New Roman" w:eastAsia="Times New Roman" w:hAnsi="Times New Roman" w:cs="Times New Roman"/>
        </w:rPr>
        <w:t xml:space="preserve"> any definition of “risk to financial stability,” instead proposing to define “financial stability” as “the financial system being resilient to events or conditions that could impair its ability to support economic activity, such as by intermediating financial transactions, facilitating payments, allocating resources, and managing risks.”</w:t>
      </w:r>
      <w:r w:rsidR="00552455">
        <w:rPr>
          <w:rStyle w:val="FootnoteReference"/>
          <w:rFonts w:ascii="Times New Roman" w:eastAsia="Times New Roman" w:hAnsi="Times New Roman" w:cs="Times New Roman"/>
        </w:rPr>
        <w:footnoteReference w:id="56"/>
      </w:r>
      <w:r w:rsidRPr="00F853F0">
        <w:rPr>
          <w:rFonts w:ascii="Times New Roman" w:eastAsia="Times New Roman" w:hAnsi="Times New Roman" w:cs="Times New Roman"/>
        </w:rPr>
        <w:t xml:space="preserve"> </w:t>
      </w:r>
      <w:r w:rsidRPr="00F853F0">
        <w:rPr>
          <w:rFonts w:ascii="Times New Roman" w:hAnsi="Times New Roman" w:cs="Times New Roman"/>
        </w:rPr>
        <w:t>In other words, by removing the definition of “risk to financial stability” and adding a new, broad</w:t>
      </w:r>
      <w:r w:rsidR="009C10EC">
        <w:rPr>
          <w:rFonts w:ascii="Times New Roman" w:hAnsi="Times New Roman" w:cs="Times New Roman"/>
        </w:rPr>
        <w:t>er, and more conjectural</w:t>
      </w:r>
      <w:r w:rsidRPr="00F853F0">
        <w:rPr>
          <w:rFonts w:ascii="Times New Roman" w:hAnsi="Times New Roman" w:cs="Times New Roman"/>
        </w:rPr>
        <w:t xml:space="preserve"> definition of “financial stability,” the proposed framework sets the stage for FSOC to identity a wide range of activities and institutions as risks to “financial stability.”</w:t>
      </w:r>
      <w:r w:rsidRPr="00F853F0">
        <w:rPr>
          <w:rFonts w:ascii="Times New Roman" w:hAnsi="Times New Roman" w:cs="Times New Roman"/>
          <w:b/>
          <w:bCs/>
        </w:rPr>
        <w:t xml:space="preserve"> </w:t>
      </w:r>
    </w:p>
    <w:p w14:paraId="0124E9DB" w14:textId="77777777" w:rsidR="00A87877" w:rsidRDefault="00A87877" w:rsidP="00C71A8A">
      <w:pPr>
        <w:pStyle w:val="NormalWeb"/>
        <w:rPr>
          <w:rFonts w:ascii="Times New Roman" w:hAnsi="Times New Roman" w:cs="Times New Roman"/>
          <w:color w:val="000000"/>
        </w:rPr>
      </w:pPr>
    </w:p>
    <w:p w14:paraId="439CECCD" w14:textId="77777777" w:rsidR="0006313B" w:rsidRPr="00AB03F5" w:rsidRDefault="0006313B" w:rsidP="008B3DC6">
      <w:pPr>
        <w:pStyle w:val="NormalWeb"/>
        <w:rPr>
          <w:rFonts w:ascii="Times New Roman" w:hAnsi="Times New Roman" w:cs="Times New Roman"/>
          <w:b/>
          <w:bCs/>
          <w:i/>
          <w:iCs/>
          <w:color w:val="2F5496" w:themeColor="accent1" w:themeShade="BF"/>
        </w:rPr>
      </w:pPr>
      <w:r w:rsidRPr="0006313B">
        <w:rPr>
          <w:rFonts w:ascii="Times New Roman" w:hAnsi="Times New Roman" w:cs="Times New Roman"/>
          <w:color w:val="000000"/>
        </w:rPr>
        <w:tab/>
      </w:r>
      <w:r w:rsidRPr="00AB03F5">
        <w:rPr>
          <w:rFonts w:ascii="Times New Roman" w:hAnsi="Times New Roman" w:cs="Times New Roman"/>
          <w:b/>
          <w:bCs/>
          <w:color w:val="2F5496" w:themeColor="accent1" w:themeShade="BF"/>
        </w:rPr>
        <w:t>C)</w:t>
      </w:r>
      <w:r w:rsidRPr="001265A7">
        <w:rPr>
          <w:rFonts w:ascii="Times New Roman" w:hAnsi="Times New Roman" w:cs="Times New Roman"/>
          <w:color w:val="2F5496" w:themeColor="accent1" w:themeShade="BF"/>
        </w:rPr>
        <w:t xml:space="preserve"> </w:t>
      </w:r>
      <w:r w:rsidR="0031470A" w:rsidRPr="00AB03F5">
        <w:rPr>
          <w:rFonts w:ascii="Times New Roman" w:hAnsi="Times New Roman" w:cs="Times New Roman"/>
          <w:b/>
          <w:bCs/>
          <w:i/>
          <w:iCs/>
          <w:color w:val="2F5496" w:themeColor="accent1" w:themeShade="BF"/>
        </w:rPr>
        <w:t xml:space="preserve">Proposed Analytic Framework </w:t>
      </w:r>
      <w:r w:rsidR="00E01D59" w:rsidRPr="00AB03F5">
        <w:rPr>
          <w:rFonts w:ascii="Times New Roman" w:hAnsi="Times New Roman" w:cs="Times New Roman"/>
          <w:b/>
          <w:bCs/>
          <w:i/>
          <w:iCs/>
          <w:color w:val="2F5496" w:themeColor="accent1" w:themeShade="BF"/>
        </w:rPr>
        <w:t xml:space="preserve">identifies particular asset classes, institutions, and activities </w:t>
      </w:r>
    </w:p>
    <w:p w14:paraId="07541B26" w14:textId="49204342" w:rsidR="008B3DC6" w:rsidRPr="00AB03F5" w:rsidRDefault="00001BAF" w:rsidP="0006313B">
      <w:pPr>
        <w:pStyle w:val="NormalWeb"/>
        <w:ind w:left="990"/>
        <w:rPr>
          <w:rFonts w:ascii="Times New Roman" w:hAnsi="Times New Roman" w:cs="Times New Roman"/>
          <w:b/>
          <w:bCs/>
          <w:i/>
          <w:iCs/>
          <w:color w:val="2F5496" w:themeColor="accent1" w:themeShade="BF"/>
        </w:rPr>
      </w:pPr>
      <w:r w:rsidRPr="00AB03F5">
        <w:rPr>
          <w:rFonts w:ascii="Times New Roman" w:hAnsi="Times New Roman" w:cs="Times New Roman"/>
          <w:b/>
          <w:bCs/>
          <w:i/>
          <w:iCs/>
          <w:color w:val="2F5496" w:themeColor="accent1" w:themeShade="BF"/>
        </w:rPr>
        <w:t xml:space="preserve">that FSOC may monitor, and sets forth a </w:t>
      </w:r>
      <w:r w:rsidR="00A67895" w:rsidRPr="00AB03F5">
        <w:rPr>
          <w:rFonts w:ascii="Times New Roman" w:hAnsi="Times New Roman" w:cs="Times New Roman"/>
          <w:b/>
          <w:bCs/>
          <w:i/>
          <w:iCs/>
          <w:color w:val="2F5496" w:themeColor="accent1" w:themeShade="BF"/>
        </w:rPr>
        <w:t xml:space="preserve">broad range of </w:t>
      </w:r>
      <w:r w:rsidRPr="00AB03F5">
        <w:rPr>
          <w:rFonts w:ascii="Times New Roman" w:hAnsi="Times New Roman" w:cs="Times New Roman"/>
          <w:b/>
          <w:bCs/>
          <w:i/>
          <w:iCs/>
          <w:color w:val="2F5496" w:themeColor="accent1" w:themeShade="BF"/>
        </w:rPr>
        <w:t xml:space="preserve">financial risk </w:t>
      </w:r>
      <w:r w:rsidR="00A67895" w:rsidRPr="00AB03F5">
        <w:rPr>
          <w:rFonts w:ascii="Times New Roman" w:hAnsi="Times New Roman" w:cs="Times New Roman"/>
          <w:b/>
          <w:bCs/>
          <w:i/>
          <w:iCs/>
          <w:color w:val="2F5496" w:themeColor="accent1" w:themeShade="BF"/>
        </w:rPr>
        <w:t xml:space="preserve">transmission channels and </w:t>
      </w:r>
      <w:proofErr w:type="gramStart"/>
      <w:r w:rsidR="00A67895" w:rsidRPr="00AB03F5">
        <w:rPr>
          <w:rFonts w:ascii="Times New Roman" w:hAnsi="Times New Roman" w:cs="Times New Roman"/>
          <w:b/>
          <w:bCs/>
          <w:i/>
          <w:iCs/>
          <w:color w:val="2F5496" w:themeColor="accent1" w:themeShade="BF"/>
        </w:rPr>
        <w:t>vulnerabilities</w:t>
      </w:r>
      <w:proofErr w:type="gramEnd"/>
    </w:p>
    <w:p w14:paraId="39DF66BC" w14:textId="77777777" w:rsidR="00A87877" w:rsidRDefault="00A87877" w:rsidP="00C71A8A">
      <w:pPr>
        <w:pStyle w:val="NormalWeb"/>
        <w:rPr>
          <w:rFonts w:ascii="Times New Roman" w:hAnsi="Times New Roman" w:cs="Times New Roman"/>
          <w:color w:val="000000"/>
        </w:rPr>
      </w:pPr>
    </w:p>
    <w:p w14:paraId="1B38FF29" w14:textId="77777777" w:rsidR="00B60187" w:rsidRDefault="00E45DC8" w:rsidP="00C71A8A">
      <w:pPr>
        <w:pStyle w:val="NormalWeb"/>
        <w:rPr>
          <w:rFonts w:ascii="Times New Roman" w:hAnsi="Times New Roman" w:cs="Times New Roman"/>
          <w:color w:val="000000"/>
        </w:rPr>
      </w:pPr>
      <w:r>
        <w:rPr>
          <w:rFonts w:ascii="Times New Roman" w:hAnsi="Times New Roman" w:cs="Times New Roman"/>
          <w:color w:val="000000"/>
        </w:rPr>
        <w:t xml:space="preserve">To </w:t>
      </w:r>
      <w:r w:rsidR="0069593B">
        <w:rPr>
          <w:rFonts w:ascii="Times New Roman" w:hAnsi="Times New Roman" w:cs="Times New Roman"/>
          <w:color w:val="000000"/>
        </w:rPr>
        <w:t xml:space="preserve">work toward </w:t>
      </w:r>
      <w:r>
        <w:rPr>
          <w:rFonts w:ascii="Times New Roman" w:hAnsi="Times New Roman" w:cs="Times New Roman"/>
          <w:color w:val="000000"/>
        </w:rPr>
        <w:t>th</w:t>
      </w:r>
      <w:r w:rsidR="0069593B">
        <w:rPr>
          <w:rFonts w:ascii="Times New Roman" w:hAnsi="Times New Roman" w:cs="Times New Roman"/>
          <w:color w:val="000000"/>
        </w:rPr>
        <w:t xml:space="preserve">is goal </w:t>
      </w:r>
      <w:r w:rsidR="00396F1E">
        <w:rPr>
          <w:rFonts w:ascii="Times New Roman" w:hAnsi="Times New Roman" w:cs="Times New Roman"/>
          <w:color w:val="000000"/>
        </w:rPr>
        <w:t>of identifying risks</w:t>
      </w:r>
      <w:r>
        <w:rPr>
          <w:rFonts w:ascii="Times New Roman" w:hAnsi="Times New Roman" w:cs="Times New Roman"/>
          <w:color w:val="000000"/>
        </w:rPr>
        <w:t xml:space="preserve"> </w:t>
      </w:r>
      <w:r w:rsidR="0092749A">
        <w:rPr>
          <w:rFonts w:ascii="Times New Roman" w:hAnsi="Times New Roman" w:cs="Times New Roman"/>
          <w:color w:val="000000"/>
        </w:rPr>
        <w:t>to financial stability</w:t>
      </w:r>
      <w:r>
        <w:rPr>
          <w:rFonts w:ascii="Times New Roman" w:hAnsi="Times New Roman" w:cs="Times New Roman"/>
          <w:color w:val="000000"/>
        </w:rPr>
        <w:t>, the</w:t>
      </w:r>
      <w:r w:rsidR="00A9648D">
        <w:rPr>
          <w:rFonts w:ascii="Times New Roman" w:hAnsi="Times New Roman" w:cs="Times New Roman"/>
          <w:color w:val="000000"/>
        </w:rPr>
        <w:t xml:space="preserve"> Proposed Analytic Framework</w:t>
      </w:r>
      <w:r>
        <w:rPr>
          <w:rFonts w:ascii="Times New Roman" w:hAnsi="Times New Roman" w:cs="Times New Roman"/>
          <w:color w:val="000000"/>
        </w:rPr>
        <w:t xml:space="preserve"> –</w:t>
      </w:r>
      <w:r w:rsidR="00A9648D">
        <w:rPr>
          <w:rFonts w:ascii="Times New Roman" w:hAnsi="Times New Roman" w:cs="Times New Roman"/>
          <w:color w:val="000000"/>
        </w:rPr>
        <w:t xml:space="preserve"> unlike Obama and Trump Administration FSOC guidance documents</w:t>
      </w:r>
      <w:r>
        <w:rPr>
          <w:rFonts w:ascii="Times New Roman" w:hAnsi="Times New Roman" w:cs="Times New Roman"/>
          <w:color w:val="000000"/>
        </w:rPr>
        <w:t xml:space="preserve"> – </w:t>
      </w:r>
      <w:r w:rsidR="00A9648D">
        <w:rPr>
          <w:rFonts w:ascii="Times New Roman" w:hAnsi="Times New Roman" w:cs="Times New Roman"/>
          <w:color w:val="000000"/>
        </w:rPr>
        <w:t>sets forth a broad list of “asset classes, institutions, and activities” that FSOC “may” monitor for systemic risks</w:t>
      </w:r>
      <w:r w:rsidR="002C4AE7">
        <w:rPr>
          <w:rFonts w:ascii="Times New Roman" w:hAnsi="Times New Roman" w:cs="Times New Roman"/>
          <w:color w:val="000000"/>
        </w:rPr>
        <w:t>.</w:t>
      </w:r>
      <w:r w:rsidR="000F6EEB">
        <w:rPr>
          <w:rStyle w:val="FootnoteReference"/>
          <w:rFonts w:ascii="Times New Roman" w:hAnsi="Times New Roman" w:cs="Times New Roman"/>
          <w:color w:val="000000"/>
        </w:rPr>
        <w:footnoteReference w:id="57"/>
      </w:r>
      <w:r w:rsidR="002C4AE7">
        <w:rPr>
          <w:rFonts w:ascii="Times New Roman" w:hAnsi="Times New Roman" w:cs="Times New Roman"/>
          <w:color w:val="000000"/>
        </w:rPr>
        <w:t xml:space="preserve"> The list</w:t>
      </w:r>
      <w:r w:rsidR="002F15ED">
        <w:rPr>
          <w:rFonts w:ascii="Times New Roman" w:hAnsi="Times New Roman" w:cs="Times New Roman"/>
          <w:color w:val="000000"/>
        </w:rPr>
        <w:t xml:space="preserve"> is prefaced by an emphasis on FSOC’s “broad statutory framework” and</w:t>
      </w:r>
      <w:r w:rsidR="002C4AE7">
        <w:rPr>
          <w:rFonts w:ascii="Times New Roman" w:hAnsi="Times New Roman" w:cs="Times New Roman"/>
          <w:color w:val="000000"/>
        </w:rPr>
        <w:t xml:space="preserve"> </w:t>
      </w:r>
      <w:r w:rsidR="001E3C78">
        <w:rPr>
          <w:rFonts w:ascii="Times New Roman" w:hAnsi="Times New Roman" w:cs="Times New Roman"/>
          <w:color w:val="000000"/>
        </w:rPr>
        <w:t>includes:</w:t>
      </w:r>
      <w:r w:rsidR="001E3C78" w:rsidRPr="005948A9">
        <w:rPr>
          <w:rFonts w:ascii="Times New Roman" w:hAnsi="Times New Roman" w:cs="Times New Roman"/>
          <w:color w:val="000000"/>
        </w:rPr>
        <w:t xml:space="preserve"> markets for debt, loans, short-term funds, equity securities, commodities, digital assets, derivatives, and other institutional and consumer financial products and services; broker-dealers</w:t>
      </w:r>
      <w:r w:rsidR="005948A9" w:rsidRPr="005948A9">
        <w:rPr>
          <w:rFonts w:ascii="Times New Roman" w:hAnsi="Times New Roman" w:cs="Times New Roman"/>
          <w:color w:val="000000"/>
        </w:rPr>
        <w:t>;</w:t>
      </w:r>
      <w:r w:rsidR="001E3C78" w:rsidRPr="005948A9">
        <w:rPr>
          <w:rFonts w:ascii="Times New Roman" w:hAnsi="Times New Roman" w:cs="Times New Roman"/>
          <w:color w:val="000000"/>
        </w:rPr>
        <w:t xml:space="preserve"> asset managers</w:t>
      </w:r>
      <w:r w:rsidR="005948A9" w:rsidRPr="005948A9">
        <w:rPr>
          <w:rFonts w:ascii="Times New Roman" w:hAnsi="Times New Roman" w:cs="Times New Roman"/>
          <w:color w:val="000000"/>
        </w:rPr>
        <w:t xml:space="preserve">; </w:t>
      </w:r>
      <w:r w:rsidR="001E3C78" w:rsidRPr="005948A9">
        <w:rPr>
          <w:rFonts w:ascii="Times New Roman" w:hAnsi="Times New Roman" w:cs="Times New Roman"/>
          <w:color w:val="000000"/>
        </w:rPr>
        <w:t>investment companies</w:t>
      </w:r>
      <w:r w:rsidR="005948A9" w:rsidRPr="005948A9">
        <w:rPr>
          <w:rFonts w:ascii="Times New Roman" w:hAnsi="Times New Roman" w:cs="Times New Roman"/>
          <w:color w:val="000000"/>
        </w:rPr>
        <w:t xml:space="preserve">; </w:t>
      </w:r>
      <w:r w:rsidR="001E3C78" w:rsidRPr="005948A9">
        <w:rPr>
          <w:rFonts w:ascii="Times New Roman" w:hAnsi="Times New Roman" w:cs="Times New Roman"/>
          <w:color w:val="000000"/>
        </w:rPr>
        <w:t>insurance companies</w:t>
      </w:r>
      <w:r w:rsidR="005948A9" w:rsidRPr="005948A9">
        <w:rPr>
          <w:rFonts w:ascii="Times New Roman" w:hAnsi="Times New Roman" w:cs="Times New Roman"/>
          <w:color w:val="000000"/>
        </w:rPr>
        <w:t xml:space="preserve">; </w:t>
      </w:r>
      <w:r w:rsidR="001E3C78" w:rsidRPr="005948A9">
        <w:rPr>
          <w:rFonts w:ascii="Times New Roman" w:hAnsi="Times New Roman" w:cs="Times New Roman"/>
          <w:color w:val="000000"/>
        </w:rPr>
        <w:t>mortgage originators and servicers</w:t>
      </w:r>
      <w:r w:rsidR="005948A9" w:rsidRPr="005948A9">
        <w:rPr>
          <w:rFonts w:ascii="Times New Roman" w:hAnsi="Times New Roman" w:cs="Times New Roman"/>
          <w:color w:val="000000"/>
        </w:rPr>
        <w:t xml:space="preserve">; </w:t>
      </w:r>
      <w:r w:rsidR="001E3C78" w:rsidRPr="005948A9">
        <w:rPr>
          <w:rFonts w:ascii="Times New Roman" w:hAnsi="Times New Roman" w:cs="Times New Roman"/>
          <w:color w:val="000000"/>
        </w:rPr>
        <w:t>specialty finance companies; new or evolving financial products and practices; cybersecurity</w:t>
      </w:r>
      <w:r w:rsidR="005948A9" w:rsidRPr="005948A9">
        <w:rPr>
          <w:rFonts w:ascii="Times New Roman" w:hAnsi="Times New Roman" w:cs="Times New Roman"/>
          <w:color w:val="000000"/>
        </w:rPr>
        <w:t xml:space="preserve">; </w:t>
      </w:r>
      <w:r w:rsidR="001E3C78" w:rsidRPr="005948A9">
        <w:rPr>
          <w:rFonts w:ascii="Times New Roman" w:hAnsi="Times New Roman" w:cs="Times New Roman"/>
          <w:color w:val="000000"/>
        </w:rPr>
        <w:t>and climate-related financial risks.</w:t>
      </w:r>
      <w:r w:rsidR="000F6EEB">
        <w:rPr>
          <w:rStyle w:val="FootnoteReference"/>
          <w:rFonts w:ascii="Times New Roman" w:hAnsi="Times New Roman" w:cs="Times New Roman"/>
          <w:color w:val="000000"/>
        </w:rPr>
        <w:footnoteReference w:id="58"/>
      </w:r>
      <w:r w:rsidR="002F15ED">
        <w:rPr>
          <w:rFonts w:ascii="Times New Roman" w:hAnsi="Times New Roman" w:cs="Times New Roman"/>
          <w:color w:val="000000"/>
        </w:rPr>
        <w:t xml:space="preserve"> </w:t>
      </w:r>
    </w:p>
    <w:p w14:paraId="753FB810" w14:textId="77777777" w:rsidR="00B60187" w:rsidRDefault="00B60187" w:rsidP="00C71A8A">
      <w:pPr>
        <w:pStyle w:val="NormalWeb"/>
        <w:rPr>
          <w:rFonts w:ascii="Times New Roman" w:hAnsi="Times New Roman" w:cs="Times New Roman"/>
          <w:color w:val="000000"/>
        </w:rPr>
      </w:pPr>
    </w:p>
    <w:p w14:paraId="4F572A68" w14:textId="74A190DF" w:rsidR="005306A8" w:rsidRDefault="00A9648D" w:rsidP="00C71A8A">
      <w:pPr>
        <w:pStyle w:val="NormalWeb"/>
        <w:rPr>
          <w:rFonts w:ascii="Times New Roman" w:hAnsi="Times New Roman" w:cs="Times New Roman"/>
          <w:color w:val="000000"/>
        </w:rPr>
      </w:pPr>
      <w:r>
        <w:rPr>
          <w:rFonts w:ascii="Times New Roman" w:hAnsi="Times New Roman" w:cs="Times New Roman"/>
          <w:color w:val="000000"/>
        </w:rPr>
        <w:t xml:space="preserve">This </w:t>
      </w:r>
      <w:r w:rsidRPr="00E5603C">
        <w:rPr>
          <w:rFonts w:ascii="Times New Roman" w:hAnsi="Times New Roman" w:cs="Times New Roman"/>
          <w:color w:val="000000"/>
        </w:rPr>
        <w:t xml:space="preserve">wide-ranging list </w:t>
      </w:r>
      <w:r w:rsidR="008C5D73" w:rsidRPr="00E5603C">
        <w:rPr>
          <w:rFonts w:ascii="Times New Roman" w:hAnsi="Times New Roman" w:cs="Times New Roman"/>
          <w:color w:val="000000"/>
        </w:rPr>
        <w:t xml:space="preserve">– </w:t>
      </w:r>
      <w:r w:rsidR="008C5D73" w:rsidRPr="00B533DD">
        <w:rPr>
          <w:rFonts w:ascii="Times New Roman" w:hAnsi="Times New Roman" w:cs="Times New Roman"/>
          <w:color w:val="000000"/>
        </w:rPr>
        <w:t xml:space="preserve">as well as repeated </w:t>
      </w:r>
      <w:r w:rsidR="00800127" w:rsidRPr="00B533DD">
        <w:rPr>
          <w:rFonts w:ascii="Times New Roman" w:hAnsi="Times New Roman" w:cs="Times New Roman"/>
          <w:color w:val="000000"/>
        </w:rPr>
        <w:t xml:space="preserve">admonitions </w:t>
      </w:r>
      <w:r w:rsidR="008C5D73" w:rsidRPr="00B533DD">
        <w:rPr>
          <w:rFonts w:ascii="Times New Roman" w:hAnsi="Times New Roman" w:cs="Times New Roman"/>
          <w:color w:val="000000"/>
        </w:rPr>
        <w:t>that the analytic framework would be non-binding</w:t>
      </w:r>
      <w:r w:rsidR="001E5789" w:rsidRPr="00E5603C">
        <w:rPr>
          <w:rFonts w:ascii="Times New Roman" w:hAnsi="Times New Roman" w:cs="Times New Roman"/>
          <w:color w:val="000000"/>
        </w:rPr>
        <w:t xml:space="preserve"> on</w:t>
      </w:r>
      <w:r w:rsidR="001E5789">
        <w:rPr>
          <w:rFonts w:ascii="Times New Roman" w:hAnsi="Times New Roman" w:cs="Times New Roman"/>
          <w:color w:val="000000"/>
        </w:rPr>
        <w:t xml:space="preserve"> FSOC</w:t>
      </w:r>
      <w:r w:rsidR="008C5D73">
        <w:rPr>
          <w:rStyle w:val="FootnoteReference"/>
          <w:rFonts w:ascii="Times New Roman" w:hAnsi="Times New Roman" w:cs="Times New Roman"/>
          <w:color w:val="000000"/>
        </w:rPr>
        <w:footnoteReference w:id="59"/>
      </w:r>
      <w:r w:rsidR="008C5D73">
        <w:rPr>
          <w:rFonts w:ascii="Times New Roman" w:hAnsi="Times New Roman" w:cs="Times New Roman"/>
          <w:color w:val="000000"/>
        </w:rPr>
        <w:t xml:space="preserve"> – </w:t>
      </w:r>
      <w:r>
        <w:rPr>
          <w:rFonts w:ascii="Times New Roman" w:hAnsi="Times New Roman" w:cs="Times New Roman"/>
          <w:color w:val="000000"/>
        </w:rPr>
        <w:t>is a clear signal that the Biden Administration intends for FSOC to take advantage of loosened procedural guardrails to examine designating a broad range of non-banks and PCS Activities under Section 113 and Section 804 authorities.</w:t>
      </w:r>
      <w:r w:rsidR="002C4AE7">
        <w:rPr>
          <w:rFonts w:ascii="Times New Roman" w:hAnsi="Times New Roman" w:cs="Times New Roman"/>
          <w:color w:val="000000"/>
        </w:rPr>
        <w:t xml:space="preserve"> </w:t>
      </w:r>
    </w:p>
    <w:p w14:paraId="2B05942C" w14:textId="77777777" w:rsidR="005306A8" w:rsidRDefault="005306A8" w:rsidP="00C71A8A">
      <w:pPr>
        <w:pStyle w:val="NormalWeb"/>
        <w:rPr>
          <w:rFonts w:ascii="Times New Roman" w:hAnsi="Times New Roman" w:cs="Times New Roman"/>
          <w:color w:val="000000"/>
        </w:rPr>
      </w:pPr>
    </w:p>
    <w:p w14:paraId="3C7231A7" w14:textId="647514D6" w:rsidR="00BD0446" w:rsidRDefault="00BD0446" w:rsidP="00BD0446">
      <w:pPr>
        <w:pStyle w:val="NormalWeb"/>
        <w:rPr>
          <w:rFonts w:ascii="Times New Roman" w:hAnsi="Times New Roman" w:cs="Times New Roman"/>
          <w:color w:val="000000"/>
        </w:rPr>
      </w:pPr>
      <w:r>
        <w:rPr>
          <w:rFonts w:ascii="Times New Roman" w:hAnsi="Times New Roman" w:cs="Times New Roman"/>
          <w:color w:val="000000"/>
        </w:rPr>
        <w:t xml:space="preserve">Indeed, while the financial risk </w:t>
      </w:r>
      <w:r w:rsidRPr="00CF2D4C">
        <w:rPr>
          <w:rFonts w:ascii="Times New Roman" w:hAnsi="Times New Roman" w:cs="Times New Roman"/>
          <w:color w:val="000000"/>
        </w:rPr>
        <w:t xml:space="preserve">transmission channels and vulnerabilities </w:t>
      </w:r>
      <w:r>
        <w:rPr>
          <w:rFonts w:ascii="Times New Roman" w:hAnsi="Times New Roman" w:cs="Times New Roman"/>
          <w:color w:val="000000"/>
        </w:rPr>
        <w:t xml:space="preserve">emphasized in the Proposed Analytic Framework resemble those in Obama-era FSOC guidance, there are notable differences in emphasis and scope which seem to set the stage for broad actions by FSOC. </w:t>
      </w:r>
      <w:r w:rsidRPr="00CF2D4C">
        <w:rPr>
          <w:rFonts w:ascii="Times New Roman" w:hAnsi="Times New Roman" w:cs="Times New Roman"/>
          <w:color w:val="000000"/>
        </w:rPr>
        <w:t xml:space="preserve">Both Obama-era guidance and the 2023 Proposed </w:t>
      </w:r>
      <w:r w:rsidR="007F241A">
        <w:rPr>
          <w:rFonts w:ascii="Times New Roman" w:hAnsi="Times New Roman" w:cs="Times New Roman"/>
          <w:color w:val="000000"/>
        </w:rPr>
        <w:t xml:space="preserve">Analytic </w:t>
      </w:r>
      <w:r w:rsidRPr="00CF2D4C">
        <w:rPr>
          <w:rFonts w:ascii="Times New Roman" w:hAnsi="Times New Roman" w:cs="Times New Roman"/>
          <w:color w:val="000000"/>
        </w:rPr>
        <w:t xml:space="preserve">Framework emphasize size, interconnectedness/interconnections, leverage, and liquidity risk and maturity mismatch, </w:t>
      </w:r>
      <w:r>
        <w:rPr>
          <w:rFonts w:ascii="Times New Roman" w:hAnsi="Times New Roman" w:cs="Times New Roman"/>
          <w:color w:val="000000"/>
        </w:rPr>
        <w:t xml:space="preserve">but </w:t>
      </w:r>
      <w:r w:rsidRPr="00CF2D4C">
        <w:rPr>
          <w:rFonts w:ascii="Times New Roman" w:hAnsi="Times New Roman" w:cs="Times New Roman"/>
          <w:color w:val="000000"/>
        </w:rPr>
        <w:t>the 2023 Proposed Framework seems to place a much greater emphasis on “operational risk</w:t>
      </w:r>
      <w:r w:rsidR="00870DC3">
        <w:rPr>
          <w:rFonts w:ascii="Times New Roman" w:hAnsi="Times New Roman" w:cs="Times New Roman"/>
          <w:color w:val="000000"/>
        </w:rPr>
        <w:t>s</w:t>
      </w:r>
      <w:r w:rsidRPr="00CF2D4C">
        <w:rPr>
          <w:rFonts w:ascii="Times New Roman" w:hAnsi="Times New Roman" w:cs="Times New Roman"/>
          <w:color w:val="000000"/>
        </w:rPr>
        <w:t>,” “concentration,” “complexity,” and “opacity</w:t>
      </w:r>
      <w:r>
        <w:rPr>
          <w:rFonts w:ascii="Times New Roman" w:hAnsi="Times New Roman" w:cs="Times New Roman"/>
          <w:color w:val="000000"/>
        </w:rPr>
        <w:t>.”</w:t>
      </w:r>
      <w:r w:rsidR="00E23806">
        <w:rPr>
          <w:rStyle w:val="FootnoteReference"/>
          <w:rFonts w:ascii="Times New Roman" w:hAnsi="Times New Roman" w:cs="Times New Roman"/>
          <w:color w:val="000000"/>
        </w:rPr>
        <w:footnoteReference w:id="60"/>
      </w:r>
      <w:r w:rsidRPr="00CF2D4C">
        <w:rPr>
          <w:rFonts w:ascii="Times New Roman" w:hAnsi="Times New Roman" w:cs="Times New Roman"/>
          <w:color w:val="000000"/>
        </w:rPr>
        <w:t xml:space="preserve"> Also, unlike the Obama-era FSOC guidance, the 2023 Proposed </w:t>
      </w:r>
      <w:r w:rsidR="002C439D">
        <w:rPr>
          <w:rFonts w:ascii="Times New Roman" w:hAnsi="Times New Roman" w:cs="Times New Roman"/>
          <w:color w:val="000000"/>
        </w:rPr>
        <w:t xml:space="preserve">Analytic </w:t>
      </w:r>
      <w:r w:rsidRPr="00CF2D4C">
        <w:rPr>
          <w:rFonts w:ascii="Times New Roman" w:hAnsi="Times New Roman" w:cs="Times New Roman"/>
          <w:color w:val="000000"/>
        </w:rPr>
        <w:t>Framework explicitly discusses “contagion,” noting that “[c]</w:t>
      </w:r>
      <w:proofErr w:type="spellStart"/>
      <w:r w:rsidRPr="00CF2D4C">
        <w:rPr>
          <w:rFonts w:ascii="Times New Roman" w:hAnsi="Times New Roman" w:cs="Times New Roman"/>
          <w:color w:val="000000"/>
        </w:rPr>
        <w:t>ontagion</w:t>
      </w:r>
      <w:proofErr w:type="spellEnd"/>
      <w:r w:rsidRPr="00CF2D4C">
        <w:rPr>
          <w:rFonts w:ascii="Times New Roman" w:hAnsi="Times New Roman" w:cs="Times New Roman"/>
          <w:color w:val="000000"/>
        </w:rPr>
        <w:t xml:space="preserve"> can . . . arise when there is a loss of confidence in financial instruments that are treated as substitutes for money” – seemingly a reference to </w:t>
      </w:r>
      <w:r w:rsidR="00366B6D">
        <w:rPr>
          <w:rFonts w:ascii="Times New Roman" w:hAnsi="Times New Roman" w:cs="Times New Roman"/>
          <w:color w:val="000000"/>
        </w:rPr>
        <w:t xml:space="preserve">perceived risks regarding </w:t>
      </w:r>
      <w:r w:rsidR="00BE530A">
        <w:rPr>
          <w:rFonts w:ascii="Times New Roman" w:hAnsi="Times New Roman" w:cs="Times New Roman"/>
          <w:color w:val="000000"/>
        </w:rPr>
        <w:t>MMFs</w:t>
      </w:r>
      <w:r>
        <w:rPr>
          <w:rFonts w:ascii="Times New Roman" w:hAnsi="Times New Roman" w:cs="Times New Roman"/>
          <w:color w:val="000000"/>
        </w:rPr>
        <w:t xml:space="preserve"> and/or stablecoins.</w:t>
      </w:r>
      <w:r w:rsidR="00E23806">
        <w:rPr>
          <w:rStyle w:val="FootnoteReference"/>
          <w:rFonts w:ascii="Times New Roman" w:hAnsi="Times New Roman" w:cs="Times New Roman"/>
          <w:color w:val="000000"/>
        </w:rPr>
        <w:footnoteReference w:id="61"/>
      </w:r>
    </w:p>
    <w:p w14:paraId="59BCD632" w14:textId="77777777" w:rsidR="00BD0446" w:rsidRDefault="00BD0446" w:rsidP="00BD0446">
      <w:pPr>
        <w:pStyle w:val="NormalWeb"/>
        <w:rPr>
          <w:rFonts w:ascii="Times New Roman" w:hAnsi="Times New Roman" w:cs="Times New Roman"/>
          <w:color w:val="000000"/>
        </w:rPr>
      </w:pPr>
    </w:p>
    <w:p w14:paraId="067C3A4F" w14:textId="5E9DE360" w:rsidR="00BD0446" w:rsidRDefault="00BD0446" w:rsidP="00BD0446">
      <w:pPr>
        <w:pStyle w:val="NormalWeb"/>
        <w:rPr>
          <w:rFonts w:ascii="Times New Roman" w:hAnsi="Times New Roman" w:cs="Times New Roman"/>
          <w:color w:val="000000"/>
        </w:rPr>
      </w:pPr>
      <w:r>
        <w:rPr>
          <w:rFonts w:ascii="Times New Roman" w:hAnsi="Times New Roman" w:cs="Times New Roman"/>
          <w:color w:val="000000"/>
        </w:rPr>
        <w:lastRenderedPageBreak/>
        <w:t>Also</w:t>
      </w:r>
      <w:r w:rsidR="005306A8">
        <w:rPr>
          <w:rFonts w:ascii="Times New Roman" w:hAnsi="Times New Roman" w:cs="Times New Roman"/>
          <w:color w:val="000000"/>
        </w:rPr>
        <w:t xml:space="preserve">, unlike prior FSOC </w:t>
      </w:r>
      <w:r w:rsidR="00361FD6">
        <w:rPr>
          <w:rFonts w:ascii="Times New Roman" w:hAnsi="Times New Roman" w:cs="Times New Roman"/>
          <w:color w:val="000000"/>
        </w:rPr>
        <w:t>guidance, the Proposed Analytic Framework sets forth how PCS Activities and FMUs could be designated.</w:t>
      </w:r>
      <w:r w:rsidR="00E23806">
        <w:rPr>
          <w:rStyle w:val="FootnoteReference"/>
          <w:rFonts w:ascii="Times New Roman" w:hAnsi="Times New Roman" w:cs="Times New Roman"/>
          <w:color w:val="000000"/>
        </w:rPr>
        <w:footnoteReference w:id="62"/>
      </w:r>
      <w:r w:rsidR="00361FD6">
        <w:rPr>
          <w:rFonts w:ascii="Times New Roman" w:hAnsi="Times New Roman" w:cs="Times New Roman"/>
          <w:color w:val="000000"/>
        </w:rPr>
        <w:t xml:space="preserve"> </w:t>
      </w:r>
      <w:r w:rsidR="00E23806">
        <w:rPr>
          <w:rFonts w:ascii="Times New Roman" w:hAnsi="Times New Roman" w:cs="Times New Roman"/>
          <w:color w:val="000000"/>
        </w:rPr>
        <w:t>This indicates a</w:t>
      </w:r>
      <w:r w:rsidR="00A9648D">
        <w:rPr>
          <w:rFonts w:ascii="Times New Roman" w:hAnsi="Times New Roman" w:cs="Times New Roman"/>
          <w:color w:val="000000"/>
        </w:rPr>
        <w:t xml:space="preserve"> desire </w:t>
      </w:r>
      <w:r w:rsidR="00361FD6">
        <w:rPr>
          <w:rFonts w:ascii="Times New Roman" w:hAnsi="Times New Roman" w:cs="Times New Roman"/>
          <w:color w:val="000000"/>
        </w:rPr>
        <w:t xml:space="preserve">by the Biden Administration </w:t>
      </w:r>
      <w:r w:rsidR="00A9648D">
        <w:rPr>
          <w:rFonts w:ascii="Times New Roman" w:hAnsi="Times New Roman" w:cs="Times New Roman"/>
          <w:color w:val="000000"/>
        </w:rPr>
        <w:t xml:space="preserve">to </w:t>
      </w:r>
      <w:r w:rsidR="00361FD6">
        <w:rPr>
          <w:rFonts w:ascii="Times New Roman" w:hAnsi="Times New Roman" w:cs="Times New Roman"/>
          <w:color w:val="000000"/>
        </w:rPr>
        <w:t>use Section 804 authorities</w:t>
      </w:r>
      <w:r w:rsidR="00E23806">
        <w:rPr>
          <w:rFonts w:ascii="Times New Roman" w:hAnsi="Times New Roman" w:cs="Times New Roman"/>
          <w:color w:val="000000"/>
        </w:rPr>
        <w:t>, which also</w:t>
      </w:r>
      <w:r w:rsidR="00361FD6">
        <w:rPr>
          <w:rFonts w:ascii="Times New Roman" w:hAnsi="Times New Roman" w:cs="Times New Roman"/>
          <w:color w:val="000000"/>
        </w:rPr>
        <w:t xml:space="preserve"> </w:t>
      </w:r>
      <w:r w:rsidR="00A9648D">
        <w:rPr>
          <w:rFonts w:ascii="Times New Roman" w:hAnsi="Times New Roman" w:cs="Times New Roman"/>
          <w:color w:val="000000"/>
        </w:rPr>
        <w:t xml:space="preserve">helps explain why the </w:t>
      </w:r>
      <w:r w:rsidR="00313513" w:rsidRPr="001139B8">
        <w:rPr>
          <w:rFonts w:ascii="Times New Roman" w:hAnsi="Times New Roman" w:cs="Times New Roman"/>
          <w:color w:val="000000"/>
        </w:rPr>
        <w:t xml:space="preserve">2023 Proposed </w:t>
      </w:r>
      <w:r w:rsidR="00E01D59">
        <w:rPr>
          <w:rFonts w:ascii="Times New Roman" w:hAnsi="Times New Roman" w:cs="Times New Roman"/>
          <w:color w:val="000000"/>
        </w:rPr>
        <w:t xml:space="preserve">Analytic </w:t>
      </w:r>
      <w:r w:rsidR="00313513" w:rsidRPr="001139B8">
        <w:rPr>
          <w:rFonts w:ascii="Times New Roman" w:hAnsi="Times New Roman" w:cs="Times New Roman"/>
          <w:color w:val="000000"/>
        </w:rPr>
        <w:t xml:space="preserve">Framework </w:t>
      </w:r>
      <w:r w:rsidR="00A9648D">
        <w:rPr>
          <w:rFonts w:ascii="Times New Roman" w:hAnsi="Times New Roman" w:cs="Times New Roman"/>
          <w:color w:val="000000"/>
        </w:rPr>
        <w:t xml:space="preserve">is a </w:t>
      </w:r>
      <w:r w:rsidR="001139B8" w:rsidRPr="001139B8">
        <w:rPr>
          <w:rFonts w:ascii="Times New Roman" w:hAnsi="Times New Roman" w:cs="Times New Roman"/>
          <w:color w:val="000000"/>
        </w:rPr>
        <w:t>broad, separate document</w:t>
      </w:r>
      <w:r w:rsidR="00A9648D">
        <w:rPr>
          <w:rFonts w:ascii="Times New Roman" w:hAnsi="Times New Roman" w:cs="Times New Roman"/>
          <w:color w:val="000000"/>
        </w:rPr>
        <w:t xml:space="preserve"> – </w:t>
      </w:r>
      <w:r w:rsidR="001139B8" w:rsidRPr="001139B8">
        <w:rPr>
          <w:rFonts w:ascii="Times New Roman" w:hAnsi="Times New Roman" w:cs="Times New Roman"/>
          <w:color w:val="000000"/>
        </w:rPr>
        <w:t xml:space="preserve">a departure from the Obama and Trump Administrations’ approach of identifying substantive analytic factors within their respective non-bank designation guidance documents for FSOC to consider when determining whether a non-bank </w:t>
      </w:r>
      <w:r w:rsidR="00DF1BF5">
        <w:rPr>
          <w:rFonts w:ascii="Times New Roman" w:hAnsi="Times New Roman" w:cs="Times New Roman"/>
          <w:color w:val="000000"/>
        </w:rPr>
        <w:t xml:space="preserve">should be designated </w:t>
      </w:r>
      <w:r w:rsidR="00F52DD7">
        <w:rPr>
          <w:rFonts w:ascii="Times New Roman" w:hAnsi="Times New Roman" w:cs="Times New Roman"/>
          <w:color w:val="000000"/>
        </w:rPr>
        <w:t xml:space="preserve">for Fed regulation </w:t>
      </w:r>
      <w:r w:rsidR="001139B8" w:rsidRPr="001139B8">
        <w:rPr>
          <w:rFonts w:ascii="Times New Roman" w:hAnsi="Times New Roman" w:cs="Times New Roman"/>
          <w:color w:val="000000"/>
        </w:rPr>
        <w:t>under Section 113 of Dodd-Frank.</w:t>
      </w:r>
      <w:r w:rsidR="0046498C">
        <w:rPr>
          <w:rFonts w:ascii="Times New Roman" w:hAnsi="Times New Roman" w:cs="Times New Roman"/>
          <w:color w:val="000000"/>
        </w:rPr>
        <w:t xml:space="preserve"> </w:t>
      </w:r>
    </w:p>
    <w:p w14:paraId="6027ECAF" w14:textId="77777777" w:rsidR="00EE087A" w:rsidRDefault="00EE087A" w:rsidP="00BD0446">
      <w:pPr>
        <w:pStyle w:val="NormalWeb"/>
        <w:rPr>
          <w:rFonts w:ascii="Times New Roman" w:hAnsi="Times New Roman" w:cs="Times New Roman"/>
          <w:color w:val="000000"/>
        </w:rPr>
      </w:pPr>
    </w:p>
    <w:p w14:paraId="105B0166" w14:textId="44F2DB5B" w:rsidR="008B3DC6" w:rsidRPr="005750E4" w:rsidRDefault="005750E4" w:rsidP="00EE087A">
      <w:pPr>
        <w:spacing w:after="0"/>
        <w:rPr>
          <w:rFonts w:ascii="Times New Roman" w:hAnsi="Times New Roman" w:cs="Times New Roman"/>
          <w:b/>
          <w:bCs/>
          <w:i/>
          <w:iCs/>
          <w:color w:val="2F5496" w:themeColor="accent1" w:themeShade="BF"/>
          <w:u w:val="single"/>
        </w:rPr>
      </w:pPr>
      <w:r w:rsidRPr="005750E4">
        <w:rPr>
          <w:rFonts w:ascii="Times New Roman" w:hAnsi="Times New Roman" w:cs="Times New Roman"/>
          <w:b/>
          <w:bCs/>
          <w:color w:val="2F5496" w:themeColor="accent1" w:themeShade="BF"/>
        </w:rPr>
        <w:t>IV)</w:t>
      </w:r>
      <w:r w:rsidRPr="008458EB">
        <w:rPr>
          <w:rFonts w:ascii="Times New Roman" w:hAnsi="Times New Roman" w:cs="Times New Roman"/>
          <w:color w:val="2F5496" w:themeColor="accent1" w:themeShade="BF"/>
        </w:rPr>
        <w:t xml:space="preserve"> </w:t>
      </w:r>
      <w:proofErr w:type="gramStart"/>
      <w:r w:rsidR="008B3DC6" w:rsidRPr="005750E4">
        <w:rPr>
          <w:rFonts w:ascii="Times New Roman" w:hAnsi="Times New Roman" w:cs="Times New Roman"/>
          <w:b/>
          <w:bCs/>
          <w:i/>
          <w:iCs/>
          <w:color w:val="2F5496" w:themeColor="accent1" w:themeShade="BF"/>
          <w:u w:val="single"/>
        </w:rPr>
        <w:t>How</w:t>
      </w:r>
      <w:proofErr w:type="gramEnd"/>
      <w:r w:rsidR="008B3DC6" w:rsidRPr="005750E4">
        <w:rPr>
          <w:rFonts w:ascii="Times New Roman" w:hAnsi="Times New Roman" w:cs="Times New Roman"/>
          <w:b/>
          <w:bCs/>
          <w:i/>
          <w:iCs/>
          <w:color w:val="2F5496" w:themeColor="accent1" w:themeShade="BF"/>
          <w:u w:val="single"/>
        </w:rPr>
        <w:t xml:space="preserve"> Public Policy and Compliance Professionals Can Prepare</w:t>
      </w:r>
    </w:p>
    <w:p w14:paraId="48C0326B" w14:textId="77777777" w:rsidR="008B3DC6" w:rsidRDefault="008B3DC6" w:rsidP="00C71A8A">
      <w:pPr>
        <w:pStyle w:val="NormalWeb"/>
        <w:rPr>
          <w:rFonts w:ascii="Times New Roman" w:hAnsi="Times New Roman" w:cs="Times New Roman"/>
          <w:color w:val="000000"/>
        </w:rPr>
      </w:pPr>
    </w:p>
    <w:p w14:paraId="0F3BD70D" w14:textId="6489FED4" w:rsidR="009168B6" w:rsidRDefault="00BD0446" w:rsidP="009D0A17">
      <w:pPr>
        <w:pStyle w:val="NormalWeb"/>
        <w:rPr>
          <w:rFonts w:ascii="Times New Roman" w:hAnsi="Times New Roman" w:cs="Times New Roman"/>
          <w:color w:val="000000"/>
        </w:rPr>
      </w:pPr>
      <w:r>
        <w:rPr>
          <w:rFonts w:ascii="Times New Roman" w:hAnsi="Times New Roman" w:cs="Times New Roman"/>
          <w:color w:val="000000"/>
        </w:rPr>
        <w:t xml:space="preserve">For the last two years, </w:t>
      </w:r>
      <w:r w:rsidR="00032E15">
        <w:rPr>
          <w:rFonts w:ascii="Times New Roman" w:hAnsi="Times New Roman" w:cs="Times New Roman"/>
          <w:color w:val="000000"/>
        </w:rPr>
        <w:t>the Biden Administration has clearly telegraphed where FSOC will focus its efforts</w:t>
      </w:r>
      <w:r w:rsidR="009168B6">
        <w:rPr>
          <w:rFonts w:ascii="Times New Roman" w:hAnsi="Times New Roman" w:cs="Times New Roman"/>
          <w:color w:val="000000"/>
        </w:rPr>
        <w:t xml:space="preserve"> through both FSOC reports and </w:t>
      </w:r>
      <w:r w:rsidR="00432863">
        <w:rPr>
          <w:rFonts w:ascii="Times New Roman" w:hAnsi="Times New Roman" w:cs="Times New Roman"/>
          <w:color w:val="000000"/>
        </w:rPr>
        <w:t xml:space="preserve">statements regarding the </w:t>
      </w:r>
      <w:r w:rsidR="00731E04">
        <w:rPr>
          <w:rFonts w:ascii="Times New Roman" w:hAnsi="Times New Roman" w:cs="Times New Roman"/>
          <w:color w:val="000000"/>
        </w:rPr>
        <w:t>priorities</w:t>
      </w:r>
      <w:r w:rsidR="00432863">
        <w:rPr>
          <w:rFonts w:ascii="Times New Roman" w:hAnsi="Times New Roman" w:cs="Times New Roman"/>
          <w:color w:val="000000"/>
        </w:rPr>
        <w:t xml:space="preserve"> of international </w:t>
      </w:r>
      <w:r w:rsidR="00265D57">
        <w:rPr>
          <w:rFonts w:ascii="Times New Roman" w:hAnsi="Times New Roman" w:cs="Times New Roman"/>
          <w:color w:val="000000"/>
        </w:rPr>
        <w:t xml:space="preserve">bodies </w:t>
      </w:r>
      <w:r w:rsidR="00432863">
        <w:rPr>
          <w:rFonts w:ascii="Times New Roman" w:hAnsi="Times New Roman" w:cs="Times New Roman"/>
          <w:color w:val="000000"/>
        </w:rPr>
        <w:t xml:space="preserve">such as the </w:t>
      </w:r>
      <w:r w:rsidR="00254399">
        <w:rPr>
          <w:rFonts w:ascii="Times New Roman" w:hAnsi="Times New Roman" w:cs="Times New Roman"/>
          <w:color w:val="000000"/>
        </w:rPr>
        <w:t xml:space="preserve">FSB. </w:t>
      </w:r>
    </w:p>
    <w:p w14:paraId="79DFB54E" w14:textId="77777777" w:rsidR="009168B6" w:rsidRDefault="009168B6" w:rsidP="009D0A17">
      <w:pPr>
        <w:pStyle w:val="NormalWeb"/>
        <w:rPr>
          <w:rFonts w:ascii="Times New Roman" w:hAnsi="Times New Roman" w:cs="Times New Roman"/>
          <w:color w:val="000000"/>
        </w:rPr>
      </w:pPr>
    </w:p>
    <w:p w14:paraId="663E8683" w14:textId="63FA3753" w:rsidR="00E97027" w:rsidRDefault="00A655EA" w:rsidP="009D0A17">
      <w:pPr>
        <w:pStyle w:val="NormalWeb"/>
        <w:rPr>
          <w:rFonts w:ascii="Times New Roman" w:hAnsi="Times New Roman" w:cs="Times New Roman"/>
          <w:color w:val="000000"/>
        </w:rPr>
      </w:pPr>
      <w:r>
        <w:rPr>
          <w:rFonts w:ascii="Times New Roman" w:hAnsi="Times New Roman" w:cs="Times New Roman"/>
          <w:color w:val="000000"/>
        </w:rPr>
        <w:t>FSOC’s 2022</w:t>
      </w:r>
      <w:r w:rsidR="00990B80">
        <w:rPr>
          <w:rFonts w:ascii="Times New Roman" w:hAnsi="Times New Roman" w:cs="Times New Roman"/>
          <w:color w:val="000000"/>
        </w:rPr>
        <w:t xml:space="preserve"> Annual Report affirmatively stated that </w:t>
      </w:r>
      <w:r w:rsidR="001339A2">
        <w:rPr>
          <w:rFonts w:ascii="Times New Roman" w:hAnsi="Times New Roman" w:cs="Times New Roman"/>
          <w:color w:val="000000"/>
        </w:rPr>
        <w:t xml:space="preserve">the following </w:t>
      </w:r>
      <w:r w:rsidR="00990B80">
        <w:rPr>
          <w:rFonts w:ascii="Times New Roman" w:hAnsi="Times New Roman" w:cs="Times New Roman"/>
          <w:color w:val="000000"/>
        </w:rPr>
        <w:t xml:space="preserve">entities and forms of financial intermediation </w:t>
      </w:r>
      <w:r w:rsidR="00194C56">
        <w:rPr>
          <w:rFonts w:ascii="Times New Roman" w:hAnsi="Times New Roman" w:cs="Times New Roman"/>
          <w:color w:val="000000"/>
        </w:rPr>
        <w:t xml:space="preserve">presented various types of </w:t>
      </w:r>
      <w:r w:rsidR="001339A2">
        <w:rPr>
          <w:rFonts w:ascii="Times New Roman" w:hAnsi="Times New Roman" w:cs="Times New Roman"/>
          <w:color w:val="000000"/>
        </w:rPr>
        <w:t>“risks to financial stability”:</w:t>
      </w:r>
      <w:r w:rsidR="00194C56">
        <w:rPr>
          <w:rFonts w:ascii="Times New Roman" w:hAnsi="Times New Roman" w:cs="Times New Roman"/>
          <w:color w:val="000000"/>
        </w:rPr>
        <w:t xml:space="preserve"> hedge funds</w:t>
      </w:r>
      <w:r w:rsidR="00762D9C">
        <w:rPr>
          <w:rFonts w:ascii="Times New Roman" w:hAnsi="Times New Roman" w:cs="Times New Roman"/>
          <w:color w:val="000000"/>
        </w:rPr>
        <w:t xml:space="preserve">, open-end mutual funds, collective investment funds, </w:t>
      </w:r>
      <w:r w:rsidR="00707168">
        <w:rPr>
          <w:rFonts w:ascii="Times New Roman" w:hAnsi="Times New Roman" w:cs="Times New Roman"/>
          <w:color w:val="000000"/>
        </w:rPr>
        <w:t xml:space="preserve">and </w:t>
      </w:r>
      <w:r w:rsidR="00BE530A">
        <w:rPr>
          <w:rFonts w:ascii="Times New Roman" w:hAnsi="Times New Roman" w:cs="Times New Roman"/>
          <w:color w:val="000000"/>
        </w:rPr>
        <w:t>MMFs</w:t>
      </w:r>
      <w:r w:rsidR="00707168">
        <w:rPr>
          <w:rFonts w:ascii="Times New Roman" w:hAnsi="Times New Roman" w:cs="Times New Roman"/>
          <w:color w:val="000000"/>
        </w:rPr>
        <w:t>.</w:t>
      </w:r>
      <w:r w:rsidR="00C0080B">
        <w:rPr>
          <w:rStyle w:val="FootnoteReference"/>
          <w:rFonts w:ascii="Times New Roman" w:hAnsi="Times New Roman" w:cs="Times New Roman"/>
          <w:color w:val="000000"/>
        </w:rPr>
        <w:footnoteReference w:id="63"/>
      </w:r>
      <w:r w:rsidR="00707168">
        <w:rPr>
          <w:rFonts w:ascii="Times New Roman" w:hAnsi="Times New Roman" w:cs="Times New Roman"/>
          <w:color w:val="000000"/>
        </w:rPr>
        <w:t xml:space="preserve"> It also identified the following entities and activities as presenting </w:t>
      </w:r>
      <w:r w:rsidR="00990B80">
        <w:rPr>
          <w:rFonts w:ascii="Times New Roman" w:hAnsi="Times New Roman" w:cs="Times New Roman"/>
          <w:color w:val="000000"/>
        </w:rPr>
        <w:t>potential</w:t>
      </w:r>
      <w:r w:rsidR="00707168">
        <w:rPr>
          <w:rFonts w:ascii="Times New Roman" w:hAnsi="Times New Roman" w:cs="Times New Roman"/>
          <w:color w:val="000000"/>
        </w:rPr>
        <w:t xml:space="preserve"> </w:t>
      </w:r>
      <w:r w:rsidR="00990B80">
        <w:rPr>
          <w:rFonts w:ascii="Times New Roman" w:hAnsi="Times New Roman" w:cs="Times New Roman"/>
          <w:color w:val="000000"/>
        </w:rPr>
        <w:t>risks to financial stability:</w:t>
      </w:r>
      <w:r w:rsidR="00FA1484">
        <w:rPr>
          <w:rFonts w:ascii="Times New Roman" w:hAnsi="Times New Roman" w:cs="Times New Roman"/>
          <w:color w:val="000000"/>
        </w:rPr>
        <w:t xml:space="preserve"> </w:t>
      </w:r>
      <w:r w:rsidR="009D0A17">
        <w:rPr>
          <w:rFonts w:ascii="Times New Roman" w:hAnsi="Times New Roman" w:cs="Times New Roman"/>
          <w:color w:val="000000"/>
        </w:rPr>
        <w:t xml:space="preserve">commercial real estate, residential real estate, nonfinancial corporate credit, short-term wholesale funding markets, </w:t>
      </w:r>
      <w:r w:rsidR="002866AF">
        <w:rPr>
          <w:rFonts w:ascii="Times New Roman" w:hAnsi="Times New Roman" w:cs="Times New Roman"/>
          <w:color w:val="000000"/>
        </w:rPr>
        <w:t>non</w:t>
      </w:r>
      <w:r w:rsidR="006333A4">
        <w:rPr>
          <w:rFonts w:ascii="Times New Roman" w:hAnsi="Times New Roman" w:cs="Times New Roman"/>
          <w:color w:val="000000"/>
        </w:rPr>
        <w:t>-</w:t>
      </w:r>
      <w:r w:rsidR="002866AF">
        <w:rPr>
          <w:rFonts w:ascii="Times New Roman" w:hAnsi="Times New Roman" w:cs="Times New Roman"/>
          <w:color w:val="000000"/>
        </w:rPr>
        <w:t xml:space="preserve">bank mortgage companies, </w:t>
      </w:r>
      <w:r w:rsidR="002B4AE3">
        <w:rPr>
          <w:rFonts w:ascii="Times New Roman" w:hAnsi="Times New Roman" w:cs="Times New Roman"/>
          <w:color w:val="000000"/>
        </w:rPr>
        <w:t xml:space="preserve">activities impacted by </w:t>
      </w:r>
      <w:r w:rsidR="002D4021">
        <w:rPr>
          <w:rFonts w:ascii="Times New Roman" w:hAnsi="Times New Roman" w:cs="Times New Roman"/>
          <w:color w:val="000000"/>
        </w:rPr>
        <w:t xml:space="preserve">changing </w:t>
      </w:r>
      <w:r w:rsidR="00055B62">
        <w:rPr>
          <w:rFonts w:ascii="Times New Roman" w:hAnsi="Times New Roman" w:cs="Times New Roman"/>
          <w:color w:val="000000"/>
        </w:rPr>
        <w:t>climate</w:t>
      </w:r>
      <w:r w:rsidR="00F22E6D">
        <w:rPr>
          <w:rFonts w:ascii="Times New Roman" w:hAnsi="Times New Roman" w:cs="Times New Roman"/>
          <w:color w:val="000000"/>
        </w:rPr>
        <w:t>s</w:t>
      </w:r>
      <w:r w:rsidR="00055B62">
        <w:rPr>
          <w:rFonts w:ascii="Times New Roman" w:hAnsi="Times New Roman" w:cs="Times New Roman"/>
          <w:color w:val="000000"/>
        </w:rPr>
        <w:t xml:space="preserve">, </w:t>
      </w:r>
      <w:r w:rsidR="009D0A17">
        <w:rPr>
          <w:rFonts w:ascii="Times New Roman" w:hAnsi="Times New Roman" w:cs="Times New Roman"/>
          <w:color w:val="000000"/>
        </w:rPr>
        <w:t>and digital assets.</w:t>
      </w:r>
      <w:r w:rsidR="00C0080B">
        <w:rPr>
          <w:rStyle w:val="FootnoteReference"/>
          <w:rFonts w:ascii="Times New Roman" w:hAnsi="Times New Roman" w:cs="Times New Roman"/>
          <w:color w:val="000000"/>
        </w:rPr>
        <w:footnoteReference w:id="64"/>
      </w:r>
      <w:r w:rsidR="009D0A17">
        <w:rPr>
          <w:rFonts w:ascii="Times New Roman" w:hAnsi="Times New Roman" w:cs="Times New Roman"/>
          <w:color w:val="000000"/>
        </w:rPr>
        <w:t xml:space="preserve"> </w:t>
      </w:r>
      <w:r w:rsidR="00D55869">
        <w:rPr>
          <w:rFonts w:ascii="Times New Roman" w:hAnsi="Times New Roman" w:cs="Times New Roman"/>
          <w:color w:val="000000"/>
        </w:rPr>
        <w:t>Statements by SEC Chairman Gary Gensler and CFPB Director Rohit Chopra released concurrently with the Proposed Framework and Proposed Non</w:t>
      </w:r>
      <w:r w:rsidR="006333A4">
        <w:rPr>
          <w:rFonts w:ascii="Times New Roman" w:hAnsi="Times New Roman" w:cs="Times New Roman"/>
          <w:color w:val="000000"/>
        </w:rPr>
        <w:t>-</w:t>
      </w:r>
      <w:r w:rsidR="00D55869">
        <w:rPr>
          <w:rFonts w:ascii="Times New Roman" w:hAnsi="Times New Roman" w:cs="Times New Roman"/>
          <w:color w:val="000000"/>
        </w:rPr>
        <w:t xml:space="preserve">bank Guidance indicate that </w:t>
      </w:r>
      <w:r w:rsidR="00C1233C">
        <w:rPr>
          <w:rFonts w:ascii="Times New Roman" w:hAnsi="Times New Roman" w:cs="Times New Roman"/>
          <w:color w:val="000000"/>
        </w:rPr>
        <w:t xml:space="preserve">each of these </w:t>
      </w:r>
      <w:r w:rsidR="00D55869">
        <w:rPr>
          <w:rFonts w:ascii="Times New Roman" w:hAnsi="Times New Roman" w:cs="Times New Roman"/>
          <w:color w:val="000000"/>
        </w:rPr>
        <w:t xml:space="preserve">FSOC </w:t>
      </w:r>
      <w:r w:rsidR="00C1233C">
        <w:rPr>
          <w:rFonts w:ascii="Times New Roman" w:hAnsi="Times New Roman" w:cs="Times New Roman"/>
          <w:color w:val="000000"/>
        </w:rPr>
        <w:t xml:space="preserve">members believe certain </w:t>
      </w:r>
      <w:r w:rsidR="00D55869">
        <w:rPr>
          <w:rFonts w:ascii="Times New Roman" w:hAnsi="Times New Roman" w:cs="Times New Roman"/>
          <w:color w:val="000000"/>
        </w:rPr>
        <w:t>hedge funds and non</w:t>
      </w:r>
      <w:r w:rsidR="006333A4">
        <w:rPr>
          <w:rFonts w:ascii="Times New Roman" w:hAnsi="Times New Roman" w:cs="Times New Roman"/>
          <w:color w:val="000000"/>
        </w:rPr>
        <w:t>-</w:t>
      </w:r>
      <w:r w:rsidR="00D55869">
        <w:rPr>
          <w:rFonts w:ascii="Times New Roman" w:hAnsi="Times New Roman" w:cs="Times New Roman"/>
          <w:color w:val="000000"/>
        </w:rPr>
        <w:t>bank mortgage companies</w:t>
      </w:r>
      <w:r w:rsidR="00C1233C">
        <w:rPr>
          <w:rFonts w:ascii="Times New Roman" w:hAnsi="Times New Roman" w:cs="Times New Roman"/>
          <w:color w:val="000000"/>
        </w:rPr>
        <w:t xml:space="preserve"> pose systemic risks</w:t>
      </w:r>
      <w:r w:rsidR="00D55869">
        <w:rPr>
          <w:rFonts w:ascii="Times New Roman" w:hAnsi="Times New Roman" w:cs="Times New Roman"/>
          <w:color w:val="000000"/>
        </w:rPr>
        <w:t>.</w:t>
      </w:r>
      <w:r w:rsidR="00C0080B">
        <w:rPr>
          <w:rStyle w:val="FootnoteReference"/>
          <w:rFonts w:ascii="Times New Roman" w:hAnsi="Times New Roman" w:cs="Times New Roman"/>
          <w:color w:val="000000"/>
        </w:rPr>
        <w:footnoteReference w:id="65"/>
      </w:r>
      <w:r w:rsidR="00314A1B">
        <w:rPr>
          <w:rFonts w:ascii="Times New Roman" w:hAnsi="Times New Roman" w:cs="Times New Roman"/>
          <w:color w:val="000000"/>
        </w:rPr>
        <w:t xml:space="preserve"> </w:t>
      </w:r>
      <w:r w:rsidR="00C1233C">
        <w:rPr>
          <w:rFonts w:ascii="Times New Roman" w:hAnsi="Times New Roman" w:cs="Times New Roman"/>
          <w:color w:val="000000"/>
        </w:rPr>
        <w:t>Also, u</w:t>
      </w:r>
      <w:r w:rsidR="00552261">
        <w:rPr>
          <w:rFonts w:ascii="Times New Roman" w:hAnsi="Times New Roman" w:cs="Times New Roman"/>
          <w:color w:val="000000"/>
        </w:rPr>
        <w:t>nder the Biden Administration, FSOC has already established task forces to monitor hedge fund</w:t>
      </w:r>
      <w:r w:rsidR="002B04A3">
        <w:rPr>
          <w:rFonts w:ascii="Times New Roman" w:hAnsi="Times New Roman" w:cs="Times New Roman"/>
          <w:color w:val="000000"/>
        </w:rPr>
        <w:t>-related risks</w:t>
      </w:r>
      <w:r w:rsidR="00552261">
        <w:rPr>
          <w:rFonts w:ascii="Times New Roman" w:hAnsi="Times New Roman" w:cs="Times New Roman"/>
          <w:color w:val="000000"/>
        </w:rPr>
        <w:t xml:space="preserve"> and non</w:t>
      </w:r>
      <w:r w:rsidR="006333A4">
        <w:rPr>
          <w:rFonts w:ascii="Times New Roman" w:hAnsi="Times New Roman" w:cs="Times New Roman"/>
          <w:color w:val="000000"/>
        </w:rPr>
        <w:t>-</w:t>
      </w:r>
      <w:r w:rsidR="00552261">
        <w:rPr>
          <w:rFonts w:ascii="Times New Roman" w:hAnsi="Times New Roman" w:cs="Times New Roman"/>
          <w:color w:val="000000"/>
        </w:rPr>
        <w:t>bank mortgage company risks</w:t>
      </w:r>
      <w:r w:rsidR="00E97027">
        <w:rPr>
          <w:rFonts w:ascii="Times New Roman" w:hAnsi="Times New Roman" w:cs="Times New Roman"/>
          <w:color w:val="000000"/>
        </w:rPr>
        <w:t>.</w:t>
      </w:r>
      <w:r w:rsidR="002B04A3">
        <w:rPr>
          <w:rStyle w:val="FootnoteReference"/>
          <w:rFonts w:ascii="Times New Roman" w:hAnsi="Times New Roman" w:cs="Times New Roman"/>
          <w:color w:val="000000"/>
        </w:rPr>
        <w:footnoteReference w:id="66"/>
      </w:r>
      <w:r w:rsidR="00D07210">
        <w:rPr>
          <w:rFonts w:ascii="Times New Roman" w:hAnsi="Times New Roman" w:cs="Times New Roman"/>
          <w:color w:val="000000"/>
        </w:rPr>
        <w:t xml:space="preserve"> </w:t>
      </w:r>
    </w:p>
    <w:p w14:paraId="24267E41" w14:textId="77777777" w:rsidR="00E97027" w:rsidRDefault="00E97027" w:rsidP="009D0A17">
      <w:pPr>
        <w:pStyle w:val="NormalWeb"/>
        <w:rPr>
          <w:rFonts w:ascii="Times New Roman" w:hAnsi="Times New Roman" w:cs="Times New Roman"/>
          <w:color w:val="000000"/>
        </w:rPr>
      </w:pPr>
    </w:p>
    <w:p w14:paraId="7A2F3861" w14:textId="3B3010C1" w:rsidR="00707168" w:rsidRDefault="008E53D3" w:rsidP="009D0A17">
      <w:pPr>
        <w:pStyle w:val="NormalWeb"/>
        <w:rPr>
          <w:rFonts w:ascii="Times New Roman" w:hAnsi="Times New Roman" w:cs="Times New Roman"/>
          <w:color w:val="000000"/>
        </w:rPr>
      </w:pPr>
      <w:r>
        <w:rPr>
          <w:rFonts w:ascii="Times New Roman" w:hAnsi="Times New Roman" w:cs="Times New Roman"/>
          <w:color w:val="000000"/>
        </w:rPr>
        <w:t xml:space="preserve">The impetus </w:t>
      </w:r>
      <w:r w:rsidR="00C1233C">
        <w:rPr>
          <w:rFonts w:ascii="Times New Roman" w:hAnsi="Times New Roman" w:cs="Times New Roman"/>
          <w:color w:val="000000"/>
        </w:rPr>
        <w:t xml:space="preserve">for FSOC </w:t>
      </w:r>
      <w:r>
        <w:rPr>
          <w:rFonts w:ascii="Times New Roman" w:hAnsi="Times New Roman" w:cs="Times New Roman"/>
          <w:color w:val="000000"/>
        </w:rPr>
        <w:t xml:space="preserve">to act on </w:t>
      </w:r>
      <w:r w:rsidR="00BE530A">
        <w:rPr>
          <w:rFonts w:ascii="Times New Roman" w:hAnsi="Times New Roman" w:cs="Times New Roman"/>
          <w:color w:val="000000"/>
        </w:rPr>
        <w:t>MMFs</w:t>
      </w:r>
      <w:r w:rsidR="00C1233C">
        <w:rPr>
          <w:rFonts w:ascii="Times New Roman" w:hAnsi="Times New Roman" w:cs="Times New Roman"/>
          <w:color w:val="000000"/>
        </w:rPr>
        <w:t xml:space="preserve"> </w:t>
      </w:r>
      <w:r w:rsidR="00D07210">
        <w:rPr>
          <w:rFonts w:ascii="Times New Roman" w:hAnsi="Times New Roman" w:cs="Times New Roman"/>
          <w:color w:val="000000"/>
        </w:rPr>
        <w:t xml:space="preserve">and </w:t>
      </w:r>
      <w:r w:rsidR="00C1233C">
        <w:rPr>
          <w:rFonts w:ascii="Times New Roman" w:hAnsi="Times New Roman" w:cs="Times New Roman"/>
          <w:color w:val="000000"/>
        </w:rPr>
        <w:t xml:space="preserve">open-end funds </w:t>
      </w:r>
      <w:proofErr w:type="gramStart"/>
      <w:r w:rsidR="000A2A6C">
        <w:rPr>
          <w:rFonts w:ascii="Times New Roman" w:hAnsi="Times New Roman" w:cs="Times New Roman"/>
          <w:color w:val="000000"/>
        </w:rPr>
        <w:t xml:space="preserve">in particular </w:t>
      </w:r>
      <w:r w:rsidR="00C1233C">
        <w:rPr>
          <w:rFonts w:ascii="Times New Roman" w:hAnsi="Times New Roman" w:cs="Times New Roman"/>
          <w:color w:val="000000"/>
        </w:rPr>
        <w:t>is</w:t>
      </w:r>
      <w:proofErr w:type="gramEnd"/>
      <w:r w:rsidR="00C1233C">
        <w:rPr>
          <w:rFonts w:ascii="Times New Roman" w:hAnsi="Times New Roman" w:cs="Times New Roman"/>
          <w:color w:val="000000"/>
        </w:rPr>
        <w:t xml:space="preserve"> also driven by the Biden Administration</w:t>
      </w:r>
      <w:r w:rsidR="009D25D5">
        <w:rPr>
          <w:rFonts w:ascii="Times New Roman" w:hAnsi="Times New Roman" w:cs="Times New Roman"/>
          <w:color w:val="000000"/>
        </w:rPr>
        <w:t xml:space="preserve">’s </w:t>
      </w:r>
      <w:r w:rsidR="00C1233C">
        <w:rPr>
          <w:rFonts w:ascii="Times New Roman" w:hAnsi="Times New Roman" w:cs="Times New Roman"/>
          <w:color w:val="000000"/>
        </w:rPr>
        <w:t xml:space="preserve">close relationship with the </w:t>
      </w:r>
      <w:r w:rsidR="00D91630">
        <w:rPr>
          <w:rFonts w:ascii="Times New Roman" w:hAnsi="Times New Roman" w:cs="Times New Roman"/>
          <w:color w:val="000000"/>
        </w:rPr>
        <w:t>FSB</w:t>
      </w:r>
      <w:r w:rsidR="00D6108A">
        <w:rPr>
          <w:rFonts w:ascii="Times New Roman" w:hAnsi="Times New Roman" w:cs="Times New Roman"/>
          <w:color w:val="000000"/>
        </w:rPr>
        <w:t>,</w:t>
      </w:r>
      <w:r w:rsidR="00D07210">
        <w:rPr>
          <w:rFonts w:ascii="Times New Roman" w:hAnsi="Times New Roman" w:cs="Times New Roman"/>
          <w:color w:val="000000"/>
        </w:rPr>
        <w:t xml:space="preserve"> an international group of regulators</w:t>
      </w:r>
      <w:r w:rsidR="00D91630">
        <w:rPr>
          <w:rFonts w:ascii="Times New Roman" w:hAnsi="Times New Roman" w:cs="Times New Roman"/>
          <w:color w:val="000000"/>
        </w:rPr>
        <w:t xml:space="preserve"> from </w:t>
      </w:r>
      <w:r w:rsidR="00ED716F">
        <w:rPr>
          <w:rFonts w:ascii="Times New Roman" w:hAnsi="Times New Roman" w:cs="Times New Roman"/>
          <w:color w:val="000000"/>
        </w:rPr>
        <w:t>twenty</w:t>
      </w:r>
      <w:r w:rsidR="00312F06">
        <w:rPr>
          <w:rFonts w:ascii="Times New Roman" w:hAnsi="Times New Roman" w:cs="Times New Roman"/>
          <w:color w:val="000000"/>
        </w:rPr>
        <w:t xml:space="preserve"> countries</w:t>
      </w:r>
      <w:r w:rsidR="00C1233C">
        <w:rPr>
          <w:rFonts w:ascii="Times New Roman" w:hAnsi="Times New Roman" w:cs="Times New Roman"/>
          <w:color w:val="000000"/>
        </w:rPr>
        <w:t>.</w:t>
      </w:r>
      <w:r w:rsidR="004E45B4">
        <w:rPr>
          <w:rFonts w:ascii="Times New Roman" w:hAnsi="Times New Roman" w:cs="Times New Roman"/>
          <w:color w:val="000000"/>
        </w:rPr>
        <w:t xml:space="preserve"> </w:t>
      </w:r>
      <w:r w:rsidR="00D50A88">
        <w:rPr>
          <w:rFonts w:ascii="Times New Roman" w:hAnsi="Times New Roman" w:cs="Times New Roman"/>
          <w:color w:val="000000"/>
        </w:rPr>
        <w:t>The</w:t>
      </w:r>
      <w:r w:rsidR="005C2B9F">
        <w:rPr>
          <w:rFonts w:ascii="Times New Roman" w:hAnsi="Times New Roman" w:cs="Times New Roman"/>
          <w:color w:val="000000"/>
        </w:rPr>
        <w:t xml:space="preserve"> U</w:t>
      </w:r>
      <w:r w:rsidR="004155F5">
        <w:rPr>
          <w:rFonts w:ascii="Times New Roman" w:hAnsi="Times New Roman" w:cs="Times New Roman"/>
          <w:color w:val="000000"/>
        </w:rPr>
        <w:t xml:space="preserve">nited </w:t>
      </w:r>
      <w:r w:rsidR="005C2B9F">
        <w:rPr>
          <w:rFonts w:ascii="Times New Roman" w:hAnsi="Times New Roman" w:cs="Times New Roman"/>
          <w:color w:val="000000"/>
        </w:rPr>
        <w:t>S</w:t>
      </w:r>
      <w:r w:rsidR="004155F5">
        <w:rPr>
          <w:rFonts w:ascii="Times New Roman" w:hAnsi="Times New Roman" w:cs="Times New Roman"/>
          <w:color w:val="000000"/>
        </w:rPr>
        <w:t>tates</w:t>
      </w:r>
      <w:r w:rsidR="005C2B9F">
        <w:rPr>
          <w:rFonts w:ascii="Times New Roman" w:hAnsi="Times New Roman" w:cs="Times New Roman"/>
          <w:color w:val="000000"/>
        </w:rPr>
        <w:t xml:space="preserve"> is not treaty-bound to any FSB decision</w:t>
      </w:r>
      <w:r w:rsidR="00A832DF">
        <w:rPr>
          <w:rFonts w:ascii="Times New Roman" w:hAnsi="Times New Roman" w:cs="Times New Roman"/>
          <w:color w:val="000000"/>
        </w:rPr>
        <w:t xml:space="preserve"> and </w:t>
      </w:r>
      <w:r w:rsidR="00EE16F6">
        <w:rPr>
          <w:rFonts w:ascii="Times New Roman" w:hAnsi="Times New Roman" w:cs="Times New Roman"/>
          <w:color w:val="000000"/>
        </w:rPr>
        <w:t xml:space="preserve">Congress has never formally approved </w:t>
      </w:r>
      <w:r w:rsidR="00FB7F03">
        <w:rPr>
          <w:rFonts w:ascii="Times New Roman" w:hAnsi="Times New Roman" w:cs="Times New Roman"/>
          <w:color w:val="000000"/>
        </w:rPr>
        <w:t xml:space="preserve">membership of </w:t>
      </w:r>
      <w:r w:rsidR="00EE16F6">
        <w:rPr>
          <w:rFonts w:ascii="Times New Roman" w:hAnsi="Times New Roman" w:cs="Times New Roman"/>
          <w:color w:val="000000"/>
        </w:rPr>
        <w:t>any U.S. regulator</w:t>
      </w:r>
      <w:r w:rsidR="00FB7F03">
        <w:rPr>
          <w:rFonts w:ascii="Times New Roman" w:hAnsi="Times New Roman" w:cs="Times New Roman"/>
          <w:color w:val="000000"/>
        </w:rPr>
        <w:t xml:space="preserve"> </w:t>
      </w:r>
      <w:r w:rsidR="00EE16F6">
        <w:rPr>
          <w:rFonts w:ascii="Times New Roman" w:hAnsi="Times New Roman" w:cs="Times New Roman"/>
          <w:color w:val="000000"/>
        </w:rPr>
        <w:t>in this group</w:t>
      </w:r>
      <w:r w:rsidR="00D50A88">
        <w:rPr>
          <w:rFonts w:ascii="Times New Roman" w:hAnsi="Times New Roman" w:cs="Times New Roman"/>
          <w:color w:val="000000"/>
        </w:rPr>
        <w:t>.</w:t>
      </w:r>
      <w:r w:rsidR="005C2B9F">
        <w:rPr>
          <w:rStyle w:val="FootnoteReference"/>
          <w:rFonts w:ascii="Times New Roman" w:hAnsi="Times New Roman" w:cs="Times New Roman"/>
          <w:color w:val="000000"/>
        </w:rPr>
        <w:footnoteReference w:id="67"/>
      </w:r>
      <w:r w:rsidR="00D50A88">
        <w:rPr>
          <w:rFonts w:ascii="Times New Roman" w:hAnsi="Times New Roman" w:cs="Times New Roman"/>
          <w:color w:val="000000"/>
        </w:rPr>
        <w:t xml:space="preserve"> Nevertheless,</w:t>
      </w:r>
      <w:r w:rsidR="005C2B9F">
        <w:rPr>
          <w:rFonts w:ascii="Times New Roman" w:hAnsi="Times New Roman" w:cs="Times New Roman"/>
          <w:color w:val="000000"/>
        </w:rPr>
        <w:t xml:space="preserve"> </w:t>
      </w:r>
      <w:r w:rsidR="00D07210">
        <w:rPr>
          <w:rFonts w:ascii="Times New Roman" w:hAnsi="Times New Roman" w:cs="Times New Roman"/>
          <w:color w:val="000000"/>
        </w:rPr>
        <w:t xml:space="preserve">Secretary Yellen </w:t>
      </w:r>
      <w:r w:rsidR="00C1233C">
        <w:rPr>
          <w:rFonts w:ascii="Times New Roman" w:hAnsi="Times New Roman" w:cs="Times New Roman"/>
          <w:color w:val="000000"/>
        </w:rPr>
        <w:t>recently</w:t>
      </w:r>
      <w:r w:rsidR="00D07210">
        <w:rPr>
          <w:rFonts w:ascii="Times New Roman" w:hAnsi="Times New Roman" w:cs="Times New Roman"/>
          <w:color w:val="000000"/>
        </w:rPr>
        <w:t xml:space="preserve"> </w:t>
      </w:r>
      <w:r w:rsidR="00B80066">
        <w:rPr>
          <w:rFonts w:ascii="Times New Roman" w:hAnsi="Times New Roman" w:cs="Times New Roman"/>
          <w:color w:val="000000"/>
        </w:rPr>
        <w:t>suggested</w:t>
      </w:r>
      <w:r w:rsidR="00D07210">
        <w:rPr>
          <w:rFonts w:ascii="Times New Roman" w:hAnsi="Times New Roman" w:cs="Times New Roman"/>
          <w:color w:val="000000"/>
        </w:rPr>
        <w:t xml:space="preserve"> that she believes that the U</w:t>
      </w:r>
      <w:r w:rsidR="004155F5">
        <w:rPr>
          <w:rFonts w:ascii="Times New Roman" w:hAnsi="Times New Roman" w:cs="Times New Roman"/>
          <w:color w:val="000000"/>
        </w:rPr>
        <w:t>nited States</w:t>
      </w:r>
      <w:r w:rsidR="00D07210">
        <w:rPr>
          <w:rFonts w:ascii="Times New Roman" w:hAnsi="Times New Roman" w:cs="Times New Roman"/>
          <w:color w:val="000000"/>
        </w:rPr>
        <w:t xml:space="preserve"> has “international commitments” </w:t>
      </w:r>
      <w:r w:rsidR="00BE14FD">
        <w:rPr>
          <w:rFonts w:ascii="Times New Roman" w:hAnsi="Times New Roman" w:cs="Times New Roman"/>
          <w:color w:val="000000"/>
        </w:rPr>
        <w:t xml:space="preserve">related to </w:t>
      </w:r>
      <w:r w:rsidR="00BE530A">
        <w:rPr>
          <w:rFonts w:ascii="Times New Roman" w:hAnsi="Times New Roman" w:cs="Times New Roman"/>
          <w:color w:val="000000"/>
        </w:rPr>
        <w:t xml:space="preserve">MMF </w:t>
      </w:r>
      <w:r w:rsidR="004E45B4">
        <w:rPr>
          <w:rFonts w:ascii="Times New Roman" w:hAnsi="Times New Roman" w:cs="Times New Roman"/>
          <w:color w:val="000000"/>
        </w:rPr>
        <w:t xml:space="preserve">regulation </w:t>
      </w:r>
      <w:r w:rsidR="00BE14FD">
        <w:rPr>
          <w:rFonts w:ascii="Times New Roman" w:hAnsi="Times New Roman" w:cs="Times New Roman"/>
          <w:color w:val="000000"/>
        </w:rPr>
        <w:t>stemming from the Treasury Department’s work with the FSB on this issue</w:t>
      </w:r>
      <w:r w:rsidR="00EA3E4A">
        <w:rPr>
          <w:rFonts w:ascii="Times New Roman" w:hAnsi="Times New Roman" w:cs="Times New Roman"/>
          <w:color w:val="000000"/>
        </w:rPr>
        <w:t>.</w:t>
      </w:r>
      <w:r w:rsidR="00EA3E4A">
        <w:rPr>
          <w:rStyle w:val="FootnoteReference"/>
          <w:rFonts w:ascii="Times New Roman" w:hAnsi="Times New Roman" w:cs="Times New Roman"/>
          <w:color w:val="000000"/>
        </w:rPr>
        <w:footnoteReference w:id="68"/>
      </w:r>
      <w:r w:rsidR="009D25D5">
        <w:rPr>
          <w:rFonts w:ascii="Times New Roman" w:hAnsi="Times New Roman" w:cs="Times New Roman"/>
          <w:color w:val="000000"/>
        </w:rPr>
        <w:t xml:space="preserve"> She also stated that Treasury is working with FSB to develop recommendations on open-end fund regulation.</w:t>
      </w:r>
      <w:r w:rsidR="004F1A73">
        <w:rPr>
          <w:rStyle w:val="FootnoteReference"/>
          <w:rFonts w:ascii="Times New Roman" w:hAnsi="Times New Roman" w:cs="Times New Roman"/>
          <w:color w:val="000000"/>
        </w:rPr>
        <w:footnoteReference w:id="69"/>
      </w:r>
      <w:r w:rsidR="00A73446">
        <w:rPr>
          <w:rFonts w:ascii="Times New Roman" w:hAnsi="Times New Roman" w:cs="Times New Roman"/>
          <w:color w:val="000000"/>
        </w:rPr>
        <w:t xml:space="preserve"> </w:t>
      </w:r>
      <w:r w:rsidR="008D33F8">
        <w:rPr>
          <w:rFonts w:ascii="Times New Roman" w:hAnsi="Times New Roman" w:cs="Times New Roman"/>
          <w:color w:val="000000"/>
        </w:rPr>
        <w:t>Similarly, l</w:t>
      </w:r>
      <w:r w:rsidR="000B0BAB">
        <w:rPr>
          <w:rFonts w:ascii="Times New Roman" w:hAnsi="Times New Roman" w:cs="Times New Roman"/>
          <w:color w:val="000000"/>
        </w:rPr>
        <w:t>ate last year the</w:t>
      </w:r>
      <w:r w:rsidR="00C467FC">
        <w:rPr>
          <w:rFonts w:ascii="Times New Roman" w:hAnsi="Times New Roman" w:cs="Times New Roman"/>
          <w:color w:val="000000"/>
        </w:rPr>
        <w:t xml:space="preserve"> White House</w:t>
      </w:r>
      <w:r w:rsidR="00F431FC">
        <w:rPr>
          <w:rFonts w:ascii="Times New Roman" w:hAnsi="Times New Roman" w:cs="Times New Roman"/>
          <w:color w:val="000000"/>
        </w:rPr>
        <w:t xml:space="preserve"> </w:t>
      </w:r>
      <w:r w:rsidR="003B710E">
        <w:rPr>
          <w:rFonts w:ascii="Times New Roman" w:hAnsi="Times New Roman" w:cs="Times New Roman"/>
          <w:color w:val="000000"/>
        </w:rPr>
        <w:t xml:space="preserve">embraced </w:t>
      </w:r>
      <w:r w:rsidR="003C1F7D">
        <w:rPr>
          <w:rFonts w:ascii="Times New Roman" w:hAnsi="Times New Roman" w:cs="Times New Roman"/>
          <w:color w:val="000000"/>
        </w:rPr>
        <w:t xml:space="preserve">FSB’s call for </w:t>
      </w:r>
      <w:r w:rsidR="00E42FBA">
        <w:rPr>
          <w:rFonts w:ascii="Times New Roman" w:hAnsi="Times New Roman" w:cs="Times New Roman"/>
          <w:color w:val="000000"/>
        </w:rPr>
        <w:t>significant regulation of digital asset markets under the pretext of “</w:t>
      </w:r>
      <w:r w:rsidR="00E42FBA" w:rsidRPr="00987C28">
        <w:rPr>
          <w:rFonts w:ascii="Times New Roman" w:hAnsi="Times New Roman" w:cs="Times New Roman"/>
          <w:color w:val="000000"/>
        </w:rPr>
        <w:t>same activity, same risk, same regulation</w:t>
      </w:r>
      <w:r w:rsidR="001E7FCA">
        <w:rPr>
          <w:rFonts w:ascii="Times New Roman" w:hAnsi="Times New Roman" w:cs="Times New Roman"/>
          <w:color w:val="000000"/>
        </w:rPr>
        <w:t xml:space="preserve">,” </w:t>
      </w:r>
      <w:r w:rsidR="009D19FE">
        <w:rPr>
          <w:rFonts w:ascii="Times New Roman" w:hAnsi="Times New Roman" w:cs="Times New Roman"/>
          <w:color w:val="000000"/>
        </w:rPr>
        <w:t>signaling that it could be appropriate for</w:t>
      </w:r>
      <w:r w:rsidR="00F431FC">
        <w:rPr>
          <w:rFonts w:ascii="Times New Roman" w:hAnsi="Times New Roman" w:cs="Times New Roman"/>
          <w:color w:val="000000"/>
        </w:rPr>
        <w:t xml:space="preserve"> </w:t>
      </w:r>
      <w:r w:rsidR="00F431FC">
        <w:rPr>
          <w:rFonts w:ascii="Times New Roman" w:hAnsi="Times New Roman" w:cs="Times New Roman"/>
          <w:color w:val="000000"/>
        </w:rPr>
        <w:lastRenderedPageBreak/>
        <w:t xml:space="preserve">certain stablecoin arrangements </w:t>
      </w:r>
      <w:r w:rsidR="009D19FE">
        <w:rPr>
          <w:rFonts w:ascii="Times New Roman" w:hAnsi="Times New Roman" w:cs="Times New Roman"/>
          <w:color w:val="000000"/>
        </w:rPr>
        <w:t xml:space="preserve">to be labeled </w:t>
      </w:r>
      <w:r w:rsidR="00F431FC">
        <w:rPr>
          <w:rFonts w:ascii="Times New Roman" w:hAnsi="Times New Roman" w:cs="Times New Roman"/>
          <w:color w:val="000000"/>
        </w:rPr>
        <w:t>“systemically important”</w:t>
      </w:r>
      <w:r w:rsidR="001B1737">
        <w:rPr>
          <w:rFonts w:ascii="Times New Roman" w:hAnsi="Times New Roman" w:cs="Times New Roman"/>
          <w:color w:val="000000"/>
        </w:rPr>
        <w:t xml:space="preserve"> by FSOC.</w:t>
      </w:r>
      <w:r w:rsidR="00F431FC">
        <w:rPr>
          <w:rStyle w:val="FootnoteReference"/>
          <w:rFonts w:ascii="Times New Roman" w:hAnsi="Times New Roman" w:cs="Times New Roman"/>
          <w:color w:val="000000"/>
        </w:rPr>
        <w:footnoteReference w:id="70"/>
      </w:r>
      <w:r w:rsidR="00C355E1">
        <w:rPr>
          <w:rFonts w:ascii="Times New Roman" w:hAnsi="Times New Roman" w:cs="Times New Roman"/>
          <w:color w:val="000000"/>
        </w:rPr>
        <w:t xml:space="preserve"> </w:t>
      </w:r>
      <w:r w:rsidR="00FD62F5">
        <w:rPr>
          <w:rFonts w:ascii="Times New Roman" w:hAnsi="Times New Roman" w:cs="Times New Roman"/>
          <w:color w:val="000000"/>
        </w:rPr>
        <w:t>As</w:t>
      </w:r>
      <w:r w:rsidR="00A73446">
        <w:rPr>
          <w:rFonts w:ascii="Times New Roman" w:hAnsi="Times New Roman" w:cs="Times New Roman"/>
          <w:color w:val="000000"/>
        </w:rPr>
        <w:t xml:space="preserve"> </w:t>
      </w:r>
      <w:r w:rsidR="00436862">
        <w:rPr>
          <w:rFonts w:ascii="Times New Roman" w:hAnsi="Times New Roman" w:cs="Times New Roman"/>
          <w:color w:val="000000"/>
        </w:rPr>
        <w:t>mentioned above,</w:t>
      </w:r>
      <w:r w:rsidR="00A73446">
        <w:rPr>
          <w:rFonts w:ascii="Times New Roman" w:hAnsi="Times New Roman" w:cs="Times New Roman"/>
          <w:color w:val="000000"/>
        </w:rPr>
        <w:t xml:space="preserve"> </w:t>
      </w:r>
      <w:r w:rsidR="00FD62F5">
        <w:rPr>
          <w:rFonts w:ascii="Times New Roman" w:hAnsi="Times New Roman" w:cs="Times New Roman"/>
          <w:color w:val="000000"/>
        </w:rPr>
        <w:t xml:space="preserve">during </w:t>
      </w:r>
      <w:r w:rsidR="00A73446">
        <w:rPr>
          <w:rFonts w:ascii="Times New Roman" w:hAnsi="Times New Roman" w:cs="Times New Roman"/>
          <w:color w:val="000000"/>
        </w:rPr>
        <w:t>the Obama Administration</w:t>
      </w:r>
      <w:r w:rsidR="00FD62F5">
        <w:rPr>
          <w:rFonts w:ascii="Times New Roman" w:hAnsi="Times New Roman" w:cs="Times New Roman"/>
          <w:color w:val="000000"/>
        </w:rPr>
        <w:t>, FSOC seemingly took</w:t>
      </w:r>
      <w:r w:rsidR="00A73446">
        <w:rPr>
          <w:rFonts w:ascii="Times New Roman" w:hAnsi="Times New Roman" w:cs="Times New Roman"/>
          <w:color w:val="000000"/>
        </w:rPr>
        <w:t xml:space="preserve"> direction </w:t>
      </w:r>
      <w:r w:rsidR="00FD62F5">
        <w:rPr>
          <w:rFonts w:ascii="Times New Roman" w:hAnsi="Times New Roman" w:cs="Times New Roman"/>
          <w:color w:val="000000"/>
        </w:rPr>
        <w:t>from</w:t>
      </w:r>
      <w:r w:rsidR="00A73446">
        <w:rPr>
          <w:rFonts w:ascii="Times New Roman" w:hAnsi="Times New Roman" w:cs="Times New Roman"/>
          <w:color w:val="000000"/>
        </w:rPr>
        <w:t xml:space="preserve"> FSB</w:t>
      </w:r>
      <w:r w:rsidR="00FD62F5">
        <w:rPr>
          <w:rFonts w:ascii="Times New Roman" w:hAnsi="Times New Roman" w:cs="Times New Roman"/>
          <w:color w:val="000000"/>
        </w:rPr>
        <w:t xml:space="preserve"> when using its Section 113 </w:t>
      </w:r>
      <w:r w:rsidR="009D238C">
        <w:rPr>
          <w:rFonts w:ascii="Times New Roman" w:hAnsi="Times New Roman" w:cs="Times New Roman"/>
          <w:color w:val="000000"/>
        </w:rPr>
        <w:t xml:space="preserve">designation </w:t>
      </w:r>
      <w:r w:rsidR="00FD62F5">
        <w:rPr>
          <w:rFonts w:ascii="Times New Roman" w:hAnsi="Times New Roman" w:cs="Times New Roman"/>
          <w:color w:val="000000"/>
        </w:rPr>
        <w:t>authorities</w:t>
      </w:r>
      <w:r w:rsidR="009D238C">
        <w:rPr>
          <w:rFonts w:ascii="Times New Roman" w:hAnsi="Times New Roman" w:cs="Times New Roman"/>
          <w:color w:val="000000"/>
        </w:rPr>
        <w:t xml:space="preserve"> against insurers and attempting to designate asset managers</w:t>
      </w:r>
      <w:r w:rsidR="00055DE0">
        <w:rPr>
          <w:rFonts w:ascii="Times New Roman" w:hAnsi="Times New Roman" w:cs="Times New Roman"/>
          <w:color w:val="000000"/>
        </w:rPr>
        <w:t>.</w:t>
      </w:r>
      <w:r w:rsidR="00055DE0">
        <w:rPr>
          <w:rStyle w:val="FootnoteReference"/>
          <w:rFonts w:ascii="Times New Roman" w:hAnsi="Times New Roman" w:cs="Times New Roman"/>
          <w:color w:val="000000"/>
        </w:rPr>
        <w:footnoteReference w:id="71"/>
      </w:r>
    </w:p>
    <w:p w14:paraId="0F5936A2" w14:textId="77777777" w:rsidR="00894A35" w:rsidRDefault="00894A35" w:rsidP="009D0A17">
      <w:pPr>
        <w:pStyle w:val="NormalWeb"/>
        <w:rPr>
          <w:rFonts w:ascii="Times New Roman" w:hAnsi="Times New Roman" w:cs="Times New Roman"/>
          <w:color w:val="000000"/>
        </w:rPr>
      </w:pPr>
    </w:p>
    <w:p w14:paraId="14F78E54" w14:textId="22524CEE" w:rsidR="00140AC7" w:rsidRDefault="00081207" w:rsidP="00AC7FCF">
      <w:pPr>
        <w:pStyle w:val="NormalWeb"/>
        <w:rPr>
          <w:rFonts w:ascii="Times New Roman" w:hAnsi="Times New Roman" w:cs="Times New Roman"/>
          <w:color w:val="000000"/>
        </w:rPr>
      </w:pPr>
      <w:r>
        <w:rPr>
          <w:rFonts w:ascii="Times New Roman" w:hAnsi="Times New Roman" w:cs="Times New Roman"/>
          <w:color w:val="000000"/>
        </w:rPr>
        <w:t>In conclusion, if</w:t>
      </w:r>
      <w:r w:rsidR="003B2936">
        <w:rPr>
          <w:rFonts w:ascii="Times New Roman" w:hAnsi="Times New Roman" w:cs="Times New Roman"/>
          <w:color w:val="000000"/>
        </w:rPr>
        <w:t xml:space="preserve"> the Proposed Framework and </w:t>
      </w:r>
      <w:r w:rsidR="00FF53C8">
        <w:rPr>
          <w:rFonts w:ascii="Times New Roman" w:hAnsi="Times New Roman" w:cs="Times New Roman"/>
          <w:color w:val="000000"/>
        </w:rPr>
        <w:t xml:space="preserve">the </w:t>
      </w:r>
      <w:r w:rsidR="003B2936">
        <w:rPr>
          <w:rFonts w:ascii="Times New Roman" w:hAnsi="Times New Roman" w:cs="Times New Roman"/>
          <w:color w:val="000000"/>
        </w:rPr>
        <w:t>Proposed Non</w:t>
      </w:r>
      <w:r w:rsidR="00F10133">
        <w:rPr>
          <w:rFonts w:ascii="Times New Roman" w:hAnsi="Times New Roman" w:cs="Times New Roman"/>
          <w:color w:val="000000"/>
        </w:rPr>
        <w:t>-</w:t>
      </w:r>
      <w:r w:rsidR="003B2936">
        <w:rPr>
          <w:rFonts w:ascii="Times New Roman" w:hAnsi="Times New Roman" w:cs="Times New Roman"/>
          <w:color w:val="000000"/>
        </w:rPr>
        <w:t>bank Guidance are finalized in their current form</w:t>
      </w:r>
      <w:r w:rsidR="004A5A58">
        <w:rPr>
          <w:rFonts w:ascii="Times New Roman" w:hAnsi="Times New Roman" w:cs="Times New Roman"/>
          <w:color w:val="000000"/>
        </w:rPr>
        <w:t xml:space="preserve"> with little </w:t>
      </w:r>
      <w:r w:rsidR="00A20177">
        <w:rPr>
          <w:rFonts w:ascii="Times New Roman" w:hAnsi="Times New Roman" w:cs="Times New Roman"/>
          <w:color w:val="000000"/>
        </w:rPr>
        <w:t>opposition</w:t>
      </w:r>
      <w:r w:rsidR="003B2936">
        <w:rPr>
          <w:rFonts w:ascii="Times New Roman" w:hAnsi="Times New Roman" w:cs="Times New Roman"/>
          <w:color w:val="000000"/>
        </w:rPr>
        <w:t xml:space="preserve">, FSOC </w:t>
      </w:r>
      <w:r w:rsidR="004A5A58">
        <w:rPr>
          <w:rFonts w:ascii="Times New Roman" w:hAnsi="Times New Roman" w:cs="Times New Roman"/>
          <w:color w:val="000000"/>
        </w:rPr>
        <w:t>will be empowered</w:t>
      </w:r>
      <w:r w:rsidR="003B2936">
        <w:rPr>
          <w:rFonts w:ascii="Times New Roman" w:hAnsi="Times New Roman" w:cs="Times New Roman"/>
          <w:color w:val="000000"/>
        </w:rPr>
        <w:t xml:space="preserve"> to </w:t>
      </w:r>
      <w:r w:rsidR="004A5A58">
        <w:rPr>
          <w:rFonts w:ascii="Times New Roman" w:hAnsi="Times New Roman" w:cs="Times New Roman"/>
          <w:color w:val="000000"/>
        </w:rPr>
        <w:t xml:space="preserve">begin </w:t>
      </w:r>
      <w:r w:rsidR="003B2936">
        <w:rPr>
          <w:rFonts w:ascii="Times New Roman" w:hAnsi="Times New Roman" w:cs="Times New Roman"/>
          <w:color w:val="000000"/>
        </w:rPr>
        <w:t>designat</w:t>
      </w:r>
      <w:r w:rsidR="004F1517">
        <w:rPr>
          <w:rFonts w:ascii="Times New Roman" w:hAnsi="Times New Roman" w:cs="Times New Roman"/>
          <w:color w:val="000000"/>
        </w:rPr>
        <w:t>ing</w:t>
      </w:r>
      <w:r w:rsidR="003B2936">
        <w:rPr>
          <w:rFonts w:ascii="Times New Roman" w:hAnsi="Times New Roman" w:cs="Times New Roman"/>
          <w:color w:val="000000"/>
        </w:rPr>
        <w:t xml:space="preserve"> a broad range of entities and activities </w:t>
      </w:r>
      <w:r w:rsidR="00886D28">
        <w:rPr>
          <w:rFonts w:ascii="Times New Roman" w:hAnsi="Times New Roman" w:cs="Times New Roman"/>
          <w:color w:val="000000"/>
        </w:rPr>
        <w:t xml:space="preserve">related to </w:t>
      </w:r>
      <w:r w:rsidR="008E53D3">
        <w:rPr>
          <w:rFonts w:ascii="Times New Roman" w:hAnsi="Times New Roman" w:cs="Times New Roman"/>
          <w:color w:val="000000"/>
        </w:rPr>
        <w:t>hedge funds, non</w:t>
      </w:r>
      <w:r w:rsidR="00F10133">
        <w:rPr>
          <w:rFonts w:ascii="Times New Roman" w:hAnsi="Times New Roman" w:cs="Times New Roman"/>
          <w:color w:val="000000"/>
        </w:rPr>
        <w:t>-</w:t>
      </w:r>
      <w:r w:rsidR="008E53D3">
        <w:rPr>
          <w:rFonts w:ascii="Times New Roman" w:hAnsi="Times New Roman" w:cs="Times New Roman"/>
          <w:color w:val="000000"/>
        </w:rPr>
        <w:t>bank mortgage</w:t>
      </w:r>
      <w:r w:rsidR="00886D28">
        <w:rPr>
          <w:rFonts w:ascii="Times New Roman" w:hAnsi="Times New Roman" w:cs="Times New Roman"/>
          <w:color w:val="000000"/>
        </w:rPr>
        <w:t xml:space="preserve"> finance</w:t>
      </w:r>
      <w:r w:rsidR="008E53D3">
        <w:rPr>
          <w:rFonts w:ascii="Times New Roman" w:hAnsi="Times New Roman" w:cs="Times New Roman"/>
          <w:color w:val="000000"/>
        </w:rPr>
        <w:t xml:space="preserve">, open-end funds, </w:t>
      </w:r>
      <w:r w:rsidR="00BE530A">
        <w:rPr>
          <w:rFonts w:ascii="Times New Roman" w:hAnsi="Times New Roman" w:cs="Times New Roman"/>
          <w:color w:val="000000"/>
        </w:rPr>
        <w:t>MMFs</w:t>
      </w:r>
      <w:r w:rsidR="008E53D3">
        <w:rPr>
          <w:rFonts w:ascii="Times New Roman" w:hAnsi="Times New Roman" w:cs="Times New Roman"/>
          <w:color w:val="000000"/>
        </w:rPr>
        <w:t>,</w:t>
      </w:r>
      <w:r w:rsidR="00E1706E">
        <w:rPr>
          <w:rFonts w:ascii="Times New Roman" w:hAnsi="Times New Roman" w:cs="Times New Roman"/>
          <w:color w:val="000000"/>
        </w:rPr>
        <w:t xml:space="preserve"> and digital assets</w:t>
      </w:r>
      <w:r w:rsidR="00D074CE">
        <w:rPr>
          <w:rFonts w:ascii="Times New Roman" w:hAnsi="Times New Roman" w:cs="Times New Roman"/>
          <w:color w:val="000000"/>
        </w:rPr>
        <w:t>,</w:t>
      </w:r>
      <w:r w:rsidR="008E53D3">
        <w:rPr>
          <w:rFonts w:ascii="Times New Roman" w:hAnsi="Times New Roman" w:cs="Times New Roman"/>
          <w:color w:val="000000"/>
        </w:rPr>
        <w:t xml:space="preserve"> as well as </w:t>
      </w:r>
      <w:r w:rsidR="00886D28">
        <w:rPr>
          <w:rFonts w:ascii="Times New Roman" w:hAnsi="Times New Roman" w:cs="Times New Roman"/>
          <w:color w:val="000000"/>
        </w:rPr>
        <w:t>other areas of non-bank finance.</w:t>
      </w:r>
      <w:r w:rsidR="00886D28" w:rsidRPr="00886D28">
        <w:rPr>
          <w:rFonts w:ascii="Times New Roman" w:hAnsi="Times New Roman" w:cs="Times New Roman"/>
          <w:color w:val="000000"/>
        </w:rPr>
        <w:t xml:space="preserve"> </w:t>
      </w:r>
      <w:r>
        <w:rPr>
          <w:rFonts w:ascii="Times New Roman" w:hAnsi="Times New Roman" w:cs="Times New Roman"/>
          <w:color w:val="000000"/>
        </w:rPr>
        <w:t xml:space="preserve">The result would be Fed bank-like regulation applied to broad swaths of the financial sector </w:t>
      </w:r>
      <w:r w:rsidR="004C56F0">
        <w:rPr>
          <w:rFonts w:ascii="Times New Roman" w:hAnsi="Times New Roman" w:cs="Times New Roman"/>
          <w:color w:val="000000"/>
        </w:rPr>
        <w:t xml:space="preserve">that </w:t>
      </w:r>
      <w:r w:rsidR="006C460E">
        <w:rPr>
          <w:rFonts w:ascii="Times New Roman" w:hAnsi="Times New Roman" w:cs="Times New Roman"/>
          <w:color w:val="000000"/>
        </w:rPr>
        <w:t>are</w:t>
      </w:r>
      <w:r w:rsidR="004C56F0">
        <w:rPr>
          <w:rFonts w:ascii="Times New Roman" w:hAnsi="Times New Roman" w:cs="Times New Roman"/>
          <w:color w:val="000000"/>
        </w:rPr>
        <w:t xml:space="preserve"> unprepared for such a regulatory approach</w:t>
      </w:r>
      <w:r w:rsidR="00362ADF">
        <w:rPr>
          <w:rFonts w:ascii="Times New Roman" w:hAnsi="Times New Roman" w:cs="Times New Roman"/>
          <w:color w:val="000000"/>
        </w:rPr>
        <w:t xml:space="preserve">. The business models of insurers, asset managers, private funds, and other non-bank firms could be fundamentally </w:t>
      </w:r>
      <w:r w:rsidR="004C56F0">
        <w:rPr>
          <w:rFonts w:ascii="Times New Roman" w:hAnsi="Times New Roman" w:cs="Times New Roman"/>
          <w:color w:val="000000"/>
        </w:rPr>
        <w:t xml:space="preserve">altered by Fed </w:t>
      </w:r>
      <w:r w:rsidR="00362ADF">
        <w:rPr>
          <w:rFonts w:ascii="Times New Roman" w:hAnsi="Times New Roman" w:cs="Times New Roman"/>
          <w:color w:val="000000"/>
        </w:rPr>
        <w:t xml:space="preserve">supervision and </w:t>
      </w:r>
      <w:r w:rsidR="004C56F0">
        <w:rPr>
          <w:rFonts w:ascii="Times New Roman" w:hAnsi="Times New Roman" w:cs="Times New Roman"/>
          <w:color w:val="000000"/>
        </w:rPr>
        <w:t xml:space="preserve">regulation, as was the case for non-banks designated during the Obama Administration. </w:t>
      </w:r>
    </w:p>
    <w:p w14:paraId="105C0CB1" w14:textId="77777777" w:rsidR="00140AC7" w:rsidRDefault="00140AC7" w:rsidP="00AC7FCF">
      <w:pPr>
        <w:pStyle w:val="NormalWeb"/>
        <w:rPr>
          <w:rFonts w:ascii="Times New Roman" w:hAnsi="Times New Roman" w:cs="Times New Roman"/>
          <w:color w:val="000000"/>
        </w:rPr>
      </w:pPr>
    </w:p>
    <w:p w14:paraId="3BA43DA7" w14:textId="77777777" w:rsidR="008F356D" w:rsidRDefault="008F356D" w:rsidP="00AC7FCF">
      <w:pPr>
        <w:pStyle w:val="NormalWeb"/>
        <w:rPr>
          <w:rFonts w:ascii="Times New Roman" w:hAnsi="Times New Roman" w:cs="Times New Roman"/>
          <w:color w:val="000000"/>
        </w:rPr>
      </w:pPr>
    </w:p>
    <w:p w14:paraId="16E1CBFD" w14:textId="20D4A7DF" w:rsidR="008B3DC6" w:rsidRDefault="008B3DC6" w:rsidP="00C71A8A">
      <w:pPr>
        <w:pStyle w:val="NormalWeb"/>
        <w:rPr>
          <w:rFonts w:ascii="Times New Roman" w:hAnsi="Times New Roman" w:cs="Times New Roman"/>
          <w:color w:val="000000"/>
        </w:rPr>
      </w:pPr>
    </w:p>
    <w:sectPr w:rsidR="008B3DC6" w:rsidSect="00B533D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47FC" w14:textId="77777777" w:rsidR="003F2C35" w:rsidRDefault="003F2C35" w:rsidP="005279DC">
      <w:pPr>
        <w:spacing w:after="0" w:line="240" w:lineRule="auto"/>
      </w:pPr>
      <w:r>
        <w:separator/>
      </w:r>
    </w:p>
  </w:endnote>
  <w:endnote w:type="continuationSeparator" w:id="0">
    <w:p w14:paraId="5309271A" w14:textId="77777777" w:rsidR="003F2C35" w:rsidRDefault="003F2C35" w:rsidP="005279DC">
      <w:pPr>
        <w:spacing w:after="0" w:line="240" w:lineRule="auto"/>
      </w:pPr>
      <w:r>
        <w:continuationSeparator/>
      </w:r>
    </w:p>
  </w:endnote>
  <w:endnote w:type="continuationNotice" w:id="1">
    <w:p w14:paraId="78EC4AEA" w14:textId="77777777" w:rsidR="003F2C35" w:rsidRDefault="003F2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D7DB" w14:textId="3DEC37B0" w:rsidR="00412438" w:rsidRPr="00B533DD" w:rsidRDefault="00412438" w:rsidP="00B533DD">
    <w:pPr>
      <w:pStyle w:val="Footer"/>
      <w:jc w:val="center"/>
      <w:rPr>
        <w:rFonts w:ascii="Times New Roman" w:hAnsi="Times New Roman" w:cs="Times New Roman"/>
      </w:rPr>
    </w:pPr>
    <w:r w:rsidRPr="00B533DD">
      <w:rPr>
        <w:rFonts w:ascii="Times New Roman" w:hAnsi="Times New Roman" w:cs="Times New Roman"/>
      </w:rPr>
      <w:fldChar w:fldCharType="begin"/>
    </w:r>
    <w:r w:rsidRPr="00B533DD">
      <w:rPr>
        <w:rFonts w:ascii="Times New Roman" w:hAnsi="Times New Roman" w:cs="Times New Roman"/>
      </w:rPr>
      <w:instrText xml:space="preserve"> PAGE   \* MERGEFORMAT </w:instrText>
    </w:r>
    <w:r w:rsidRPr="00B533DD">
      <w:rPr>
        <w:rFonts w:ascii="Times New Roman" w:hAnsi="Times New Roman" w:cs="Times New Roman"/>
      </w:rPr>
      <w:fldChar w:fldCharType="separate"/>
    </w:r>
    <w:r w:rsidRPr="00B533DD">
      <w:rPr>
        <w:rFonts w:ascii="Times New Roman" w:hAnsi="Times New Roman" w:cs="Times New Roman"/>
        <w:noProof/>
      </w:rPr>
      <w:t>1</w:t>
    </w:r>
    <w:r w:rsidRPr="00B533DD">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9C25" w14:textId="1580E9C3" w:rsidR="00821BF9" w:rsidRPr="00B533DD" w:rsidRDefault="00821BF9" w:rsidP="00B533DD">
    <w:pPr>
      <w:pStyle w:val="Footer"/>
      <w:jc w:val="center"/>
      <w:rPr>
        <w:rFonts w:ascii="Times New Roman" w:hAnsi="Times New Roman" w:cs="Times New Roman"/>
      </w:rPr>
    </w:pPr>
    <w:r w:rsidRPr="00B533DD">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4680" w14:textId="77777777" w:rsidR="003F2C35" w:rsidRDefault="003F2C35" w:rsidP="005279DC">
      <w:pPr>
        <w:spacing w:after="0" w:line="240" w:lineRule="auto"/>
      </w:pPr>
      <w:r>
        <w:separator/>
      </w:r>
    </w:p>
  </w:footnote>
  <w:footnote w:type="continuationSeparator" w:id="0">
    <w:p w14:paraId="1B606E9E" w14:textId="77777777" w:rsidR="003F2C35" w:rsidRDefault="003F2C35" w:rsidP="005279DC">
      <w:pPr>
        <w:spacing w:after="0" w:line="240" w:lineRule="auto"/>
      </w:pPr>
      <w:r>
        <w:continuationSeparator/>
      </w:r>
    </w:p>
  </w:footnote>
  <w:footnote w:type="continuationNotice" w:id="1">
    <w:p w14:paraId="23AAD1D8" w14:textId="77777777" w:rsidR="003F2C35" w:rsidRDefault="003F2C35">
      <w:pPr>
        <w:spacing w:after="0" w:line="240" w:lineRule="auto"/>
      </w:pPr>
    </w:p>
  </w:footnote>
  <w:footnote w:id="2">
    <w:p w14:paraId="1A0BFCBA" w14:textId="69E716A9" w:rsidR="000F3AC7" w:rsidRPr="00AE7C2C" w:rsidRDefault="000F3AC7" w:rsidP="000F3AC7">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FSOC, </w:t>
      </w:r>
      <w:r w:rsidRPr="00896B15">
        <w:rPr>
          <w:rFonts w:ascii="Times New Roman" w:hAnsi="Times New Roman" w:cs="Times New Roman"/>
          <w:sz w:val="18"/>
          <w:szCs w:val="18"/>
        </w:rPr>
        <w:t>FSOC Issues for Public Comment Proposed Analytic Framework for Financial Stability Risks and Proposed Guidance on Nonbank Financial Company Determinations</w:t>
      </w:r>
      <w:r w:rsidRPr="00AE7C2C">
        <w:rPr>
          <w:rFonts w:ascii="Times New Roman" w:hAnsi="Times New Roman" w:cs="Times New Roman"/>
          <w:sz w:val="18"/>
          <w:szCs w:val="18"/>
        </w:rPr>
        <w:t xml:space="preserve"> (Apr</w:t>
      </w:r>
      <w:r w:rsidR="00CE6861">
        <w:rPr>
          <w:rFonts w:ascii="Times New Roman" w:hAnsi="Times New Roman" w:cs="Times New Roman"/>
          <w:sz w:val="18"/>
          <w:szCs w:val="18"/>
        </w:rPr>
        <w:t>.</w:t>
      </w:r>
      <w:r w:rsidRPr="00AE7C2C">
        <w:rPr>
          <w:rFonts w:ascii="Times New Roman" w:hAnsi="Times New Roman" w:cs="Times New Roman"/>
          <w:sz w:val="18"/>
          <w:szCs w:val="18"/>
        </w:rPr>
        <w:t xml:space="preserve"> 21, 2023), available at https://home.treasury.gov/news/press-releases/jy1432</w:t>
      </w:r>
      <w:r w:rsidR="00B55216">
        <w:rPr>
          <w:rFonts w:ascii="Times New Roman" w:hAnsi="Times New Roman" w:cs="Times New Roman"/>
          <w:sz w:val="18"/>
          <w:szCs w:val="18"/>
        </w:rPr>
        <w:t>.</w:t>
      </w:r>
    </w:p>
  </w:footnote>
  <w:footnote w:id="3">
    <w:p w14:paraId="5CF41A83" w14:textId="615D3054" w:rsidR="00C511BC" w:rsidRPr="00AE7C2C" w:rsidRDefault="00C511BC" w:rsidP="00F202AA">
      <w:pPr>
        <w:pStyle w:val="FootnoteText"/>
        <w:rPr>
          <w:rFonts w:ascii="Times New Roman" w:eastAsiaTheme="minorEastAsia" w:hAnsi="Times New Roman" w:cs="Times New Roman"/>
          <w:sz w:val="18"/>
          <w:szCs w:val="18"/>
          <w:lang w:eastAsia="zh-CN"/>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0F3AC7" w:rsidRPr="00AE7C2C">
        <w:rPr>
          <w:rFonts w:ascii="Times New Roman" w:hAnsi="Times New Roman" w:cs="Times New Roman"/>
          <w:sz w:val="18"/>
          <w:szCs w:val="18"/>
        </w:rPr>
        <w:t xml:space="preserve">FSOC, Analytic Framework for Financial Stability Risk Identification, Assessment, and Response, </w:t>
      </w:r>
      <w:r w:rsidR="008E3037" w:rsidRPr="00AE7C2C">
        <w:rPr>
          <w:rFonts w:ascii="Times New Roman" w:hAnsi="Times New Roman" w:cs="Times New Roman"/>
          <w:sz w:val="18"/>
          <w:szCs w:val="18"/>
        </w:rPr>
        <w:t>88 FR 26305</w:t>
      </w:r>
      <w:r w:rsidR="000F3AC7" w:rsidRPr="00AE7C2C">
        <w:rPr>
          <w:rFonts w:ascii="Times New Roman" w:hAnsi="Times New Roman" w:cs="Times New Roman"/>
          <w:sz w:val="18"/>
          <w:szCs w:val="18"/>
        </w:rPr>
        <w:t xml:space="preserve"> (Apr. 28, 2023), https://home.treasury.gov/system/files/261/FSOC-2023-Risk-Framework.pdf</w:t>
      </w:r>
      <w:r w:rsidR="00156177" w:rsidRPr="00AE7C2C">
        <w:rPr>
          <w:rFonts w:ascii="Times New Roman" w:hAnsi="Times New Roman" w:cs="Times New Roman"/>
          <w:sz w:val="18"/>
          <w:szCs w:val="18"/>
        </w:rPr>
        <w:t xml:space="preserve"> (</w:t>
      </w:r>
      <w:r w:rsidR="00156177" w:rsidRPr="00AE7C2C">
        <w:rPr>
          <w:rFonts w:ascii="Times New Roman" w:hAnsi="Times New Roman" w:cs="Times New Roman"/>
          <w:i/>
          <w:iCs/>
          <w:sz w:val="18"/>
          <w:szCs w:val="18"/>
          <w:lang w:eastAsia="zh-CN"/>
        </w:rPr>
        <w:t>hereinafter</w:t>
      </w:r>
      <w:r w:rsidR="00156177" w:rsidRPr="00AE7C2C">
        <w:rPr>
          <w:rFonts w:ascii="Times New Roman" w:hAnsi="Times New Roman" w:cs="Times New Roman"/>
          <w:sz w:val="18"/>
          <w:szCs w:val="18"/>
          <w:lang w:eastAsia="zh-CN"/>
        </w:rPr>
        <w:t xml:space="preserve"> “Proposed Analytic Framework”)</w:t>
      </w:r>
      <w:r w:rsidR="000F3AC7" w:rsidRPr="00AE7C2C">
        <w:rPr>
          <w:rFonts w:ascii="Times New Roman" w:hAnsi="Times New Roman" w:cs="Times New Roman"/>
          <w:sz w:val="18"/>
          <w:szCs w:val="18"/>
        </w:rPr>
        <w:t>.</w:t>
      </w:r>
    </w:p>
  </w:footnote>
  <w:footnote w:id="4">
    <w:p w14:paraId="4CCC6EDE" w14:textId="3EF0DB05" w:rsidR="00DF24AD" w:rsidRPr="00AE7C2C" w:rsidRDefault="00DF24AD">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0F3AC7" w:rsidRPr="00AE7C2C">
        <w:rPr>
          <w:rFonts w:ascii="Times New Roman" w:hAnsi="Times New Roman" w:cs="Times New Roman"/>
          <w:sz w:val="18"/>
          <w:szCs w:val="18"/>
        </w:rPr>
        <w:t xml:space="preserve">FSOC, Authority </w:t>
      </w:r>
      <w:proofErr w:type="gramStart"/>
      <w:r w:rsidR="000F3AC7" w:rsidRPr="00AE7C2C">
        <w:rPr>
          <w:rFonts w:ascii="Times New Roman" w:hAnsi="Times New Roman" w:cs="Times New Roman"/>
          <w:sz w:val="18"/>
          <w:szCs w:val="18"/>
        </w:rPr>
        <w:t>To</w:t>
      </w:r>
      <w:proofErr w:type="gramEnd"/>
      <w:r w:rsidR="000F3AC7" w:rsidRPr="00AE7C2C">
        <w:rPr>
          <w:rFonts w:ascii="Times New Roman" w:hAnsi="Times New Roman" w:cs="Times New Roman"/>
          <w:sz w:val="18"/>
          <w:szCs w:val="18"/>
        </w:rPr>
        <w:t xml:space="preserve"> Require Supervision and Regulation of Certain Nonbank Financial Companies, </w:t>
      </w:r>
      <w:r w:rsidR="006A61A5" w:rsidRPr="00AE7C2C">
        <w:rPr>
          <w:rFonts w:ascii="Times New Roman" w:hAnsi="Times New Roman" w:cs="Times New Roman"/>
          <w:sz w:val="18"/>
          <w:szCs w:val="18"/>
        </w:rPr>
        <w:t>88 FR 26234</w:t>
      </w:r>
      <w:r w:rsidR="000F3AC7" w:rsidRPr="00AE7C2C">
        <w:rPr>
          <w:rFonts w:ascii="Times New Roman" w:hAnsi="Times New Roman" w:cs="Times New Roman"/>
          <w:sz w:val="18"/>
          <w:szCs w:val="18"/>
        </w:rPr>
        <w:t xml:space="preserve"> (Apr. 28, 2023), https://home.treasury.gov/system/files/261/FSOC-2023-Proposed-Nonbanks-Guidance.pdf</w:t>
      </w:r>
      <w:r w:rsidR="00322DFA" w:rsidRPr="00AE7C2C">
        <w:rPr>
          <w:rFonts w:ascii="Times New Roman" w:hAnsi="Times New Roman" w:cs="Times New Roman"/>
          <w:sz w:val="18"/>
          <w:szCs w:val="18"/>
        </w:rPr>
        <w:t xml:space="preserve"> (</w:t>
      </w:r>
      <w:r w:rsidR="00322DFA" w:rsidRPr="00AE7C2C">
        <w:rPr>
          <w:rFonts w:ascii="Times New Roman" w:hAnsi="Times New Roman" w:cs="Times New Roman"/>
          <w:i/>
          <w:iCs/>
          <w:sz w:val="18"/>
          <w:szCs w:val="18"/>
          <w:lang w:eastAsia="zh-CN"/>
        </w:rPr>
        <w:t>hereinafter</w:t>
      </w:r>
      <w:r w:rsidR="00322DFA" w:rsidRPr="00AE7C2C">
        <w:rPr>
          <w:rFonts w:ascii="Times New Roman" w:hAnsi="Times New Roman" w:cs="Times New Roman"/>
          <w:sz w:val="18"/>
          <w:szCs w:val="18"/>
          <w:lang w:eastAsia="zh-CN"/>
        </w:rPr>
        <w:t xml:space="preserve"> “</w:t>
      </w:r>
      <w:r w:rsidR="000C7F1F" w:rsidRPr="00AE7C2C">
        <w:rPr>
          <w:rFonts w:ascii="Times New Roman" w:hAnsi="Times New Roman" w:cs="Times New Roman"/>
          <w:sz w:val="18"/>
          <w:szCs w:val="18"/>
          <w:lang w:eastAsia="zh-CN"/>
        </w:rPr>
        <w:t>Proposed Nonbank Guidance</w:t>
      </w:r>
      <w:r w:rsidR="00322DFA" w:rsidRPr="00AE7C2C">
        <w:rPr>
          <w:rFonts w:ascii="Times New Roman" w:hAnsi="Times New Roman" w:cs="Times New Roman"/>
          <w:sz w:val="18"/>
          <w:szCs w:val="18"/>
          <w:lang w:eastAsia="zh-CN"/>
        </w:rPr>
        <w:t>”)</w:t>
      </w:r>
      <w:r w:rsidR="00322DFA" w:rsidRPr="00AE7C2C">
        <w:rPr>
          <w:rFonts w:ascii="Times New Roman" w:hAnsi="Times New Roman" w:cs="Times New Roman"/>
          <w:sz w:val="18"/>
          <w:szCs w:val="18"/>
        </w:rPr>
        <w:t>.</w:t>
      </w:r>
    </w:p>
  </w:footnote>
  <w:footnote w:id="5">
    <w:p w14:paraId="2EB88E97" w14:textId="464ED130" w:rsidR="00842372" w:rsidRPr="00AE7C2C" w:rsidRDefault="00842372" w:rsidP="00842372">
      <w:pPr>
        <w:pStyle w:val="FootnoteText"/>
        <w:rPr>
          <w:rFonts w:ascii="Times New Roman" w:hAnsi="Times New Roman" w:cs="Times New Roman"/>
          <w:sz w:val="18"/>
          <w:szCs w:val="18"/>
          <w:lang w:eastAsia="zh-CN"/>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H.R.4173, </w:t>
      </w:r>
      <w:r w:rsidRPr="00AE7C2C">
        <w:rPr>
          <w:rFonts w:ascii="Times New Roman" w:hAnsi="Times New Roman" w:cs="Times New Roman"/>
          <w:i/>
          <w:iCs/>
          <w:sz w:val="18"/>
          <w:szCs w:val="18"/>
        </w:rPr>
        <w:t>Dodd-Frank Wall Street Reform and Consumer Protection Act</w:t>
      </w:r>
      <w:r w:rsidR="001B0721">
        <w:rPr>
          <w:rFonts w:ascii="Times New Roman" w:hAnsi="Times New Roman" w:cs="Times New Roman"/>
          <w:sz w:val="18"/>
          <w:szCs w:val="18"/>
        </w:rPr>
        <w:t>,</w:t>
      </w:r>
      <w:r w:rsidRPr="00AE7C2C">
        <w:rPr>
          <w:rFonts w:ascii="Times New Roman" w:hAnsi="Times New Roman" w:cs="Times New Roman"/>
          <w:sz w:val="18"/>
          <w:szCs w:val="18"/>
        </w:rPr>
        <w:t xml:space="preserve"> 111</w:t>
      </w:r>
      <w:r w:rsidRPr="00AE7C2C">
        <w:rPr>
          <w:rFonts w:ascii="Times New Roman" w:hAnsi="Times New Roman" w:cs="Times New Roman"/>
          <w:sz w:val="18"/>
          <w:szCs w:val="18"/>
          <w:vertAlign w:val="superscript"/>
        </w:rPr>
        <w:t>th</w:t>
      </w:r>
      <w:r w:rsidRPr="00AE7C2C">
        <w:rPr>
          <w:rFonts w:ascii="Times New Roman" w:hAnsi="Times New Roman" w:cs="Times New Roman"/>
          <w:sz w:val="18"/>
          <w:szCs w:val="18"/>
        </w:rPr>
        <w:t xml:space="preserve"> Congress</w:t>
      </w:r>
      <w:r w:rsidR="001B0721">
        <w:rPr>
          <w:rFonts w:ascii="Times New Roman" w:hAnsi="Times New Roman" w:cs="Times New Roman"/>
          <w:sz w:val="18"/>
          <w:szCs w:val="18"/>
        </w:rPr>
        <w:t>,</w:t>
      </w:r>
      <w:r w:rsidRPr="00AE7C2C">
        <w:rPr>
          <w:rFonts w:ascii="Times New Roman" w:hAnsi="Times New Roman" w:cs="Times New Roman"/>
          <w:sz w:val="18"/>
          <w:szCs w:val="18"/>
        </w:rPr>
        <w:t xml:space="preserve"> </w:t>
      </w:r>
      <w:r w:rsidR="001B0721">
        <w:rPr>
          <w:rFonts w:ascii="Times New Roman" w:hAnsi="Times New Roman" w:cs="Times New Roman"/>
          <w:sz w:val="18"/>
          <w:szCs w:val="18"/>
        </w:rPr>
        <w:t>(</w:t>
      </w:r>
      <w:r w:rsidRPr="00AE7C2C">
        <w:rPr>
          <w:rFonts w:ascii="Times New Roman" w:hAnsi="Times New Roman" w:cs="Times New Roman"/>
          <w:sz w:val="18"/>
          <w:szCs w:val="18"/>
        </w:rPr>
        <w:t>Jul</w:t>
      </w:r>
      <w:r w:rsidR="001B0721">
        <w:rPr>
          <w:rFonts w:ascii="Times New Roman" w:hAnsi="Times New Roman" w:cs="Times New Roman"/>
          <w:sz w:val="18"/>
          <w:szCs w:val="18"/>
        </w:rPr>
        <w:t>.</w:t>
      </w:r>
      <w:r w:rsidRPr="00AE7C2C">
        <w:rPr>
          <w:rFonts w:ascii="Times New Roman" w:hAnsi="Times New Roman" w:cs="Times New Roman"/>
          <w:sz w:val="18"/>
          <w:szCs w:val="18"/>
        </w:rPr>
        <w:t xml:space="preserve"> 21, 2010</w:t>
      </w:r>
      <w:r w:rsidR="001B0721">
        <w:rPr>
          <w:rFonts w:ascii="Times New Roman" w:hAnsi="Times New Roman" w:cs="Times New Roman"/>
          <w:sz w:val="18"/>
          <w:szCs w:val="18"/>
        </w:rPr>
        <w:t>),</w:t>
      </w:r>
      <w:r w:rsidRPr="00AE7C2C">
        <w:rPr>
          <w:rFonts w:ascii="Times New Roman" w:hAnsi="Times New Roman" w:cs="Times New Roman"/>
          <w:sz w:val="18"/>
          <w:szCs w:val="18"/>
        </w:rPr>
        <w:t xml:space="preserve"> Sec. 113</w:t>
      </w:r>
      <w:r w:rsidR="001B0721">
        <w:rPr>
          <w:rFonts w:ascii="Times New Roman" w:hAnsi="Times New Roman" w:cs="Times New Roman"/>
          <w:sz w:val="18"/>
          <w:szCs w:val="18"/>
        </w:rPr>
        <w:t>,</w:t>
      </w:r>
      <w:r w:rsidRPr="00AE7C2C">
        <w:rPr>
          <w:rFonts w:ascii="Times New Roman" w:hAnsi="Times New Roman" w:cs="Times New Roman"/>
          <w:sz w:val="18"/>
          <w:szCs w:val="18"/>
        </w:rPr>
        <w:t xml:space="preserve"> https://www.congress.gov/bill/111th-congress/house-bill/4173/text (</w:t>
      </w:r>
      <w:r w:rsidRPr="00AE7C2C">
        <w:rPr>
          <w:rFonts w:ascii="Times New Roman" w:hAnsi="Times New Roman" w:cs="Times New Roman"/>
          <w:i/>
          <w:iCs/>
          <w:sz w:val="18"/>
          <w:szCs w:val="18"/>
        </w:rPr>
        <w:t>hereinafter</w:t>
      </w:r>
      <w:r w:rsidRPr="00AE7C2C">
        <w:rPr>
          <w:rFonts w:ascii="Times New Roman" w:hAnsi="Times New Roman" w:cs="Times New Roman"/>
          <w:sz w:val="18"/>
          <w:szCs w:val="18"/>
        </w:rPr>
        <w:t xml:space="preserve"> “Dodd-Frank Act”). </w:t>
      </w:r>
    </w:p>
  </w:footnote>
  <w:footnote w:id="6">
    <w:p w14:paraId="4B5EEFCF" w14:textId="77777777" w:rsidR="00BC692A" w:rsidRPr="00AE7C2C" w:rsidRDefault="00BC692A" w:rsidP="00BC692A">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Pr="00AE7C2C">
        <w:rPr>
          <w:rFonts w:ascii="Times New Roman" w:hAnsi="Times New Roman" w:cs="Times New Roman"/>
          <w:i/>
          <w:iCs/>
          <w:sz w:val="18"/>
          <w:szCs w:val="18"/>
        </w:rPr>
        <w:t>Id</w:t>
      </w:r>
      <w:r w:rsidRPr="00AE7C2C">
        <w:rPr>
          <w:rFonts w:ascii="Times New Roman" w:hAnsi="Times New Roman" w:cs="Times New Roman"/>
          <w:sz w:val="18"/>
          <w:szCs w:val="18"/>
        </w:rPr>
        <w:t>., Sec. 113(a)-(b).</w:t>
      </w:r>
    </w:p>
  </w:footnote>
  <w:footnote w:id="7">
    <w:p w14:paraId="60365314" w14:textId="63EAF24C" w:rsidR="0066267B" w:rsidRPr="00AE7C2C" w:rsidRDefault="0066267B">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96509B" w:rsidRPr="00AE7C2C">
        <w:rPr>
          <w:rFonts w:ascii="Times New Roman" w:hAnsi="Times New Roman" w:cs="Times New Roman"/>
          <w:i/>
          <w:iCs/>
          <w:sz w:val="18"/>
          <w:szCs w:val="18"/>
        </w:rPr>
        <w:t>Id</w:t>
      </w:r>
      <w:r w:rsidR="0096509B" w:rsidRPr="00AE7C2C">
        <w:rPr>
          <w:rFonts w:ascii="Times New Roman" w:hAnsi="Times New Roman" w:cs="Times New Roman"/>
          <w:sz w:val="18"/>
          <w:szCs w:val="18"/>
        </w:rPr>
        <w:t>.</w:t>
      </w:r>
      <w:r w:rsidR="005B3BBB" w:rsidRPr="00AE7C2C">
        <w:rPr>
          <w:rFonts w:ascii="Times New Roman" w:hAnsi="Times New Roman" w:cs="Times New Roman"/>
          <w:sz w:val="18"/>
          <w:szCs w:val="18"/>
        </w:rPr>
        <w:t>,</w:t>
      </w:r>
      <w:r w:rsidR="0096509B" w:rsidRPr="00AE7C2C">
        <w:rPr>
          <w:rFonts w:ascii="Times New Roman" w:hAnsi="Times New Roman" w:cs="Times New Roman"/>
          <w:sz w:val="18"/>
          <w:szCs w:val="18"/>
        </w:rPr>
        <w:t xml:space="preserve"> Sec. </w:t>
      </w:r>
      <w:r w:rsidRPr="00AE7C2C">
        <w:rPr>
          <w:rFonts w:ascii="Times New Roman" w:hAnsi="Times New Roman" w:cs="Times New Roman"/>
          <w:sz w:val="18"/>
          <w:szCs w:val="18"/>
        </w:rPr>
        <w:t>113</w:t>
      </w:r>
      <w:r w:rsidR="008F5D38" w:rsidRPr="00AE7C2C">
        <w:rPr>
          <w:rFonts w:ascii="Times New Roman" w:hAnsi="Times New Roman" w:cs="Times New Roman"/>
          <w:sz w:val="18"/>
          <w:szCs w:val="18"/>
        </w:rPr>
        <w:t>(</w:t>
      </w:r>
      <w:r w:rsidR="00726F7F" w:rsidRPr="00AE7C2C">
        <w:rPr>
          <w:rFonts w:ascii="Times New Roman" w:hAnsi="Times New Roman" w:cs="Times New Roman"/>
          <w:sz w:val="18"/>
          <w:szCs w:val="18"/>
        </w:rPr>
        <w:t>e</w:t>
      </w:r>
      <w:r w:rsidRPr="00AE7C2C">
        <w:rPr>
          <w:rFonts w:ascii="Times New Roman" w:hAnsi="Times New Roman" w:cs="Times New Roman"/>
          <w:sz w:val="18"/>
          <w:szCs w:val="18"/>
        </w:rPr>
        <w:t>).</w:t>
      </w:r>
      <w:r w:rsidR="007A003A" w:rsidRPr="00AE7C2C">
        <w:rPr>
          <w:rFonts w:ascii="Times New Roman" w:hAnsi="Times New Roman" w:cs="Times New Roman"/>
          <w:sz w:val="18"/>
          <w:szCs w:val="18"/>
        </w:rPr>
        <w:t xml:space="preserve"> </w:t>
      </w:r>
    </w:p>
  </w:footnote>
  <w:footnote w:id="8">
    <w:p w14:paraId="2D658116" w14:textId="61AD6BBE" w:rsidR="00D3462B" w:rsidRPr="00AE7C2C" w:rsidRDefault="00D3462B">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4E4E7B" w:rsidRPr="00AE7C2C">
        <w:rPr>
          <w:rFonts w:ascii="Times New Roman" w:hAnsi="Times New Roman" w:cs="Times New Roman"/>
          <w:i/>
          <w:iCs/>
          <w:sz w:val="18"/>
          <w:szCs w:val="18"/>
        </w:rPr>
        <w:t>Id</w:t>
      </w:r>
      <w:r w:rsidR="004E4E7B" w:rsidRPr="00AE7C2C">
        <w:rPr>
          <w:rFonts w:ascii="Times New Roman" w:hAnsi="Times New Roman" w:cs="Times New Roman"/>
          <w:sz w:val="18"/>
          <w:szCs w:val="18"/>
        </w:rPr>
        <w:t>.</w:t>
      </w:r>
    </w:p>
  </w:footnote>
  <w:footnote w:id="9">
    <w:p w14:paraId="37B912B8" w14:textId="4B352A79" w:rsidR="000C29B6" w:rsidRPr="00AE7C2C" w:rsidRDefault="000C29B6">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Pr="00AE7C2C">
        <w:rPr>
          <w:rFonts w:ascii="Times New Roman" w:hAnsi="Times New Roman" w:cs="Times New Roman"/>
          <w:i/>
          <w:iCs/>
          <w:sz w:val="18"/>
          <w:szCs w:val="18"/>
        </w:rPr>
        <w:t>Id</w:t>
      </w:r>
      <w:r w:rsidRPr="00AE7C2C">
        <w:rPr>
          <w:rFonts w:ascii="Times New Roman" w:hAnsi="Times New Roman" w:cs="Times New Roman"/>
          <w:sz w:val="18"/>
          <w:szCs w:val="18"/>
        </w:rPr>
        <w:t>., Sec. 113(f).</w:t>
      </w:r>
    </w:p>
  </w:footnote>
  <w:footnote w:id="10">
    <w:p w14:paraId="6EF0E571" w14:textId="7D0EA41E" w:rsidR="0091689A" w:rsidRPr="00AE7C2C" w:rsidRDefault="0091689A">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4E4E7B" w:rsidRPr="00AE7C2C">
        <w:rPr>
          <w:rFonts w:ascii="Times New Roman" w:hAnsi="Times New Roman" w:cs="Times New Roman"/>
          <w:i/>
          <w:iCs/>
          <w:sz w:val="18"/>
          <w:szCs w:val="18"/>
        </w:rPr>
        <w:t>Id</w:t>
      </w:r>
      <w:r w:rsidR="004E4E7B" w:rsidRPr="00AE7C2C">
        <w:rPr>
          <w:rFonts w:ascii="Times New Roman" w:hAnsi="Times New Roman" w:cs="Times New Roman"/>
          <w:sz w:val="18"/>
          <w:szCs w:val="18"/>
        </w:rPr>
        <w:t>., Sec. 113(d).</w:t>
      </w:r>
    </w:p>
  </w:footnote>
  <w:footnote w:id="11">
    <w:p w14:paraId="77AD2B33" w14:textId="4FD582CE" w:rsidR="00635579" w:rsidRPr="00AE7C2C" w:rsidRDefault="00635579">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Pr="00AE7C2C">
        <w:rPr>
          <w:rFonts w:ascii="Times New Roman" w:hAnsi="Times New Roman" w:cs="Times New Roman"/>
          <w:i/>
          <w:iCs/>
          <w:sz w:val="18"/>
          <w:szCs w:val="18"/>
        </w:rPr>
        <w:t>Id</w:t>
      </w:r>
      <w:r w:rsidRPr="00AE7C2C">
        <w:rPr>
          <w:rFonts w:ascii="Times New Roman" w:hAnsi="Times New Roman" w:cs="Times New Roman"/>
          <w:sz w:val="18"/>
          <w:szCs w:val="18"/>
        </w:rPr>
        <w:t>., Sec. 804.</w:t>
      </w:r>
    </w:p>
  </w:footnote>
  <w:footnote w:id="12">
    <w:p w14:paraId="54D36DDE" w14:textId="58BC0B9C" w:rsidR="0084040A" w:rsidRPr="00AE7C2C" w:rsidRDefault="0084040A">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5B3BBB" w:rsidRPr="00AE7C2C">
        <w:rPr>
          <w:rFonts w:ascii="Times New Roman" w:hAnsi="Times New Roman" w:cs="Times New Roman"/>
          <w:i/>
          <w:iCs/>
          <w:sz w:val="18"/>
          <w:szCs w:val="18"/>
        </w:rPr>
        <w:t>Id</w:t>
      </w:r>
      <w:r w:rsidR="005B3BBB" w:rsidRPr="00AE7C2C">
        <w:rPr>
          <w:rFonts w:ascii="Times New Roman" w:hAnsi="Times New Roman" w:cs="Times New Roman"/>
          <w:sz w:val="18"/>
          <w:szCs w:val="18"/>
        </w:rPr>
        <w:t xml:space="preserve">., </w:t>
      </w:r>
      <w:r w:rsidR="004371B2" w:rsidRPr="00AE7C2C">
        <w:rPr>
          <w:rFonts w:ascii="Times New Roman" w:hAnsi="Times New Roman" w:cs="Times New Roman"/>
          <w:sz w:val="18"/>
          <w:szCs w:val="18"/>
        </w:rPr>
        <w:t>Sec. 80</w:t>
      </w:r>
      <w:r w:rsidR="00185DE2">
        <w:rPr>
          <w:rFonts w:ascii="Times New Roman" w:hAnsi="Times New Roman" w:cs="Times New Roman"/>
          <w:sz w:val="18"/>
          <w:szCs w:val="18"/>
        </w:rPr>
        <w:t>3</w:t>
      </w:r>
      <w:r w:rsidR="005B3BBB" w:rsidRPr="00AE7C2C">
        <w:rPr>
          <w:rFonts w:ascii="Times New Roman" w:hAnsi="Times New Roman" w:cs="Times New Roman"/>
          <w:sz w:val="18"/>
          <w:szCs w:val="18"/>
        </w:rPr>
        <w:t>.</w:t>
      </w:r>
    </w:p>
  </w:footnote>
  <w:footnote w:id="13">
    <w:p w14:paraId="64E9ED40" w14:textId="5FCCE835" w:rsidR="00912A41" w:rsidRPr="00AE7C2C" w:rsidRDefault="00912A41">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5B3BBB" w:rsidRPr="00AE7C2C">
        <w:rPr>
          <w:rFonts w:ascii="Times New Roman" w:hAnsi="Times New Roman" w:cs="Times New Roman"/>
          <w:i/>
          <w:iCs/>
          <w:sz w:val="18"/>
          <w:szCs w:val="18"/>
        </w:rPr>
        <w:t>Id</w:t>
      </w:r>
      <w:r w:rsidR="005B3BBB" w:rsidRPr="00AE7C2C">
        <w:rPr>
          <w:rFonts w:ascii="Times New Roman" w:hAnsi="Times New Roman" w:cs="Times New Roman"/>
          <w:sz w:val="18"/>
          <w:szCs w:val="18"/>
        </w:rPr>
        <w:t xml:space="preserve">., </w:t>
      </w:r>
      <w:r w:rsidR="004371B2" w:rsidRPr="00AE7C2C">
        <w:rPr>
          <w:rFonts w:ascii="Times New Roman" w:hAnsi="Times New Roman" w:cs="Times New Roman"/>
          <w:sz w:val="18"/>
          <w:szCs w:val="18"/>
        </w:rPr>
        <w:t>Sec. 805(a)</w:t>
      </w:r>
    </w:p>
  </w:footnote>
  <w:footnote w:id="14">
    <w:p w14:paraId="3CCFED69" w14:textId="5A679036" w:rsidR="002C4454" w:rsidRPr="00AE7C2C" w:rsidRDefault="002C4454">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0001487A" w:rsidRPr="00AE7C2C">
        <w:rPr>
          <w:rFonts w:ascii="Times New Roman" w:hAnsi="Times New Roman" w:cs="Times New Roman"/>
          <w:sz w:val="18"/>
          <w:szCs w:val="18"/>
        </w:rPr>
        <w:t xml:space="preserve"> </w:t>
      </w:r>
      <w:r w:rsidR="005B3BBB" w:rsidRPr="00AE7C2C">
        <w:rPr>
          <w:rFonts w:ascii="Times New Roman" w:hAnsi="Times New Roman" w:cs="Times New Roman"/>
          <w:i/>
          <w:iCs/>
          <w:sz w:val="18"/>
          <w:szCs w:val="18"/>
        </w:rPr>
        <w:t>Id</w:t>
      </w:r>
      <w:r w:rsidR="005B3BBB" w:rsidRPr="00AE7C2C">
        <w:rPr>
          <w:rFonts w:ascii="Times New Roman" w:hAnsi="Times New Roman" w:cs="Times New Roman"/>
          <w:sz w:val="18"/>
          <w:szCs w:val="18"/>
        </w:rPr>
        <w:t xml:space="preserve">., </w:t>
      </w:r>
      <w:r w:rsidR="00631547" w:rsidRPr="00AE7C2C">
        <w:rPr>
          <w:rFonts w:ascii="Times New Roman" w:hAnsi="Times New Roman" w:cs="Times New Roman"/>
          <w:sz w:val="18"/>
          <w:szCs w:val="18"/>
        </w:rPr>
        <w:t>Sec. 804</w:t>
      </w:r>
    </w:p>
  </w:footnote>
  <w:footnote w:id="15">
    <w:p w14:paraId="5645C565" w14:textId="1EF1FC57" w:rsidR="009E6DC6" w:rsidRPr="00AE7C2C" w:rsidRDefault="009E6DC6" w:rsidP="009E6DC6">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01487A" w:rsidRPr="00AE7C2C">
        <w:rPr>
          <w:rFonts w:ascii="Times New Roman" w:hAnsi="Times New Roman" w:cs="Times New Roman"/>
          <w:i/>
          <w:iCs/>
          <w:sz w:val="18"/>
          <w:szCs w:val="18"/>
        </w:rPr>
        <w:t>Id</w:t>
      </w:r>
      <w:r w:rsidR="004371B2" w:rsidRPr="00AE7C2C">
        <w:rPr>
          <w:rFonts w:ascii="Times New Roman" w:hAnsi="Times New Roman" w:cs="Times New Roman"/>
          <w:sz w:val="18"/>
          <w:szCs w:val="18"/>
        </w:rPr>
        <w:t>.</w:t>
      </w:r>
      <w:r w:rsidR="00C13457" w:rsidRPr="00AE7C2C">
        <w:rPr>
          <w:rFonts w:ascii="Times New Roman" w:hAnsi="Times New Roman" w:cs="Times New Roman"/>
          <w:sz w:val="18"/>
          <w:szCs w:val="18"/>
        </w:rPr>
        <w:t>,</w:t>
      </w:r>
      <w:r w:rsidR="004371B2" w:rsidRPr="00AE7C2C">
        <w:rPr>
          <w:rFonts w:ascii="Times New Roman" w:hAnsi="Times New Roman" w:cs="Times New Roman"/>
          <w:sz w:val="18"/>
          <w:szCs w:val="18"/>
        </w:rPr>
        <w:t xml:space="preserve"> Sec. 805(a</w:t>
      </w:r>
      <w:r w:rsidR="0001487A" w:rsidRPr="00AE7C2C">
        <w:rPr>
          <w:rFonts w:ascii="Times New Roman" w:hAnsi="Times New Roman" w:cs="Times New Roman"/>
          <w:sz w:val="18"/>
          <w:szCs w:val="18"/>
        </w:rPr>
        <w:t>)</w:t>
      </w:r>
      <w:r w:rsidR="004371B2" w:rsidRPr="00AE7C2C">
        <w:rPr>
          <w:rFonts w:ascii="Times New Roman" w:hAnsi="Times New Roman" w:cs="Times New Roman"/>
          <w:sz w:val="18"/>
          <w:szCs w:val="18"/>
        </w:rPr>
        <w:t xml:space="preserve"> </w:t>
      </w:r>
    </w:p>
  </w:footnote>
  <w:footnote w:id="16">
    <w:p w14:paraId="703CDAA3" w14:textId="2B9BCB01" w:rsidR="00DC323C" w:rsidRPr="00AE7C2C" w:rsidRDefault="00DC323C">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01487A" w:rsidRPr="00A918B4">
        <w:rPr>
          <w:rFonts w:ascii="Times New Roman" w:hAnsi="Times New Roman" w:cs="Times New Roman"/>
          <w:i/>
          <w:iCs/>
          <w:sz w:val="18"/>
          <w:szCs w:val="18"/>
        </w:rPr>
        <w:t>Id</w:t>
      </w:r>
      <w:r w:rsidR="00631547" w:rsidRPr="00AE7C2C">
        <w:rPr>
          <w:rFonts w:ascii="Times New Roman" w:hAnsi="Times New Roman" w:cs="Times New Roman"/>
          <w:sz w:val="18"/>
          <w:szCs w:val="18"/>
        </w:rPr>
        <w:t>.</w:t>
      </w:r>
    </w:p>
  </w:footnote>
  <w:footnote w:id="17">
    <w:p w14:paraId="5CD7B111" w14:textId="316C01D0" w:rsidR="00993F94" w:rsidRPr="00AE7C2C" w:rsidRDefault="00993F94">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C13457" w:rsidRPr="00AE7C2C">
        <w:rPr>
          <w:rFonts w:ascii="Times New Roman" w:hAnsi="Times New Roman" w:cs="Times New Roman"/>
          <w:i/>
          <w:iCs/>
          <w:sz w:val="18"/>
          <w:szCs w:val="18"/>
        </w:rPr>
        <w:t>Id</w:t>
      </w:r>
      <w:r w:rsidR="00C13457" w:rsidRPr="00AE7C2C">
        <w:rPr>
          <w:rFonts w:ascii="Times New Roman" w:hAnsi="Times New Roman" w:cs="Times New Roman"/>
          <w:sz w:val="18"/>
          <w:szCs w:val="18"/>
        </w:rPr>
        <w:t xml:space="preserve">., Sec. </w:t>
      </w:r>
      <w:r w:rsidR="00A71B92" w:rsidRPr="00AE7C2C">
        <w:rPr>
          <w:rFonts w:ascii="Times New Roman" w:hAnsi="Times New Roman" w:cs="Times New Roman"/>
          <w:sz w:val="18"/>
          <w:szCs w:val="18"/>
        </w:rPr>
        <w:t xml:space="preserve">804(a). </w:t>
      </w:r>
    </w:p>
  </w:footnote>
  <w:footnote w:id="18">
    <w:p w14:paraId="6A623A6B" w14:textId="4C3A5511" w:rsidR="00993F94" w:rsidRPr="00AE7C2C" w:rsidRDefault="00993F94">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C13457" w:rsidRPr="00AE7C2C">
        <w:rPr>
          <w:rFonts w:ascii="Times New Roman" w:hAnsi="Times New Roman" w:cs="Times New Roman"/>
          <w:i/>
          <w:iCs/>
          <w:sz w:val="18"/>
          <w:szCs w:val="18"/>
        </w:rPr>
        <w:t>Id</w:t>
      </w:r>
      <w:r w:rsidR="00C13457" w:rsidRPr="00AE7C2C">
        <w:rPr>
          <w:rFonts w:ascii="Times New Roman" w:hAnsi="Times New Roman" w:cs="Times New Roman"/>
          <w:sz w:val="18"/>
          <w:szCs w:val="18"/>
        </w:rPr>
        <w:t xml:space="preserve">., Sec. </w:t>
      </w:r>
      <w:r w:rsidR="009A2F19" w:rsidRPr="00AE7C2C">
        <w:rPr>
          <w:rFonts w:ascii="Times New Roman" w:hAnsi="Times New Roman" w:cs="Times New Roman"/>
          <w:sz w:val="18"/>
          <w:szCs w:val="18"/>
        </w:rPr>
        <w:t>804(c)</w:t>
      </w:r>
      <w:r w:rsidR="004F433D" w:rsidRPr="00AE7C2C">
        <w:rPr>
          <w:rFonts w:ascii="Times New Roman" w:hAnsi="Times New Roman" w:cs="Times New Roman"/>
          <w:sz w:val="18"/>
          <w:szCs w:val="18"/>
        </w:rPr>
        <w:t>.</w:t>
      </w:r>
    </w:p>
  </w:footnote>
  <w:footnote w:id="19">
    <w:p w14:paraId="0CB1418E" w14:textId="66401EF7" w:rsidR="00BF54FF" w:rsidRPr="00AE7C2C" w:rsidRDefault="00BF54FF">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C13457" w:rsidRPr="00AE7C2C">
        <w:rPr>
          <w:rFonts w:ascii="Times New Roman" w:hAnsi="Times New Roman" w:cs="Times New Roman"/>
          <w:i/>
          <w:iCs/>
          <w:sz w:val="18"/>
          <w:szCs w:val="18"/>
        </w:rPr>
        <w:t>Id</w:t>
      </w:r>
      <w:r w:rsidR="00C13457" w:rsidRPr="00AE7C2C">
        <w:rPr>
          <w:rFonts w:ascii="Times New Roman" w:hAnsi="Times New Roman" w:cs="Times New Roman"/>
          <w:sz w:val="18"/>
          <w:szCs w:val="18"/>
        </w:rPr>
        <w:t>.</w:t>
      </w:r>
    </w:p>
  </w:footnote>
  <w:footnote w:id="20">
    <w:p w14:paraId="515978F3" w14:textId="4116431A" w:rsidR="00BD058F" w:rsidRPr="00AE7C2C" w:rsidRDefault="00BD058F">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C13457" w:rsidRPr="00AE7C2C">
        <w:rPr>
          <w:rFonts w:ascii="Times New Roman" w:hAnsi="Times New Roman" w:cs="Times New Roman"/>
          <w:i/>
          <w:iCs/>
          <w:sz w:val="18"/>
          <w:szCs w:val="18"/>
        </w:rPr>
        <w:t>Id</w:t>
      </w:r>
      <w:r w:rsidR="00C13457" w:rsidRPr="00AE7C2C">
        <w:rPr>
          <w:rFonts w:ascii="Times New Roman" w:hAnsi="Times New Roman" w:cs="Times New Roman"/>
          <w:sz w:val="18"/>
          <w:szCs w:val="18"/>
        </w:rPr>
        <w:t xml:space="preserve">., Sec. </w:t>
      </w:r>
      <w:r w:rsidR="00E044DB" w:rsidRPr="00AE7C2C">
        <w:rPr>
          <w:rFonts w:ascii="Times New Roman" w:hAnsi="Times New Roman" w:cs="Times New Roman"/>
          <w:sz w:val="18"/>
          <w:szCs w:val="18"/>
        </w:rPr>
        <w:t>80</w:t>
      </w:r>
      <w:r w:rsidR="00F50F7D">
        <w:rPr>
          <w:rFonts w:ascii="Times New Roman" w:hAnsi="Times New Roman" w:cs="Times New Roman"/>
          <w:sz w:val="18"/>
          <w:szCs w:val="18"/>
        </w:rPr>
        <w:t>4</w:t>
      </w:r>
      <w:r w:rsidR="00E044DB" w:rsidRPr="00AE7C2C">
        <w:rPr>
          <w:rFonts w:ascii="Times New Roman" w:hAnsi="Times New Roman" w:cs="Times New Roman"/>
          <w:sz w:val="18"/>
          <w:szCs w:val="18"/>
        </w:rPr>
        <w:t>(b)</w:t>
      </w:r>
      <w:r w:rsidR="004F433D" w:rsidRPr="00AE7C2C">
        <w:rPr>
          <w:rFonts w:ascii="Times New Roman" w:hAnsi="Times New Roman" w:cs="Times New Roman"/>
          <w:sz w:val="18"/>
          <w:szCs w:val="18"/>
        </w:rPr>
        <w:t>.</w:t>
      </w:r>
    </w:p>
  </w:footnote>
  <w:footnote w:id="21">
    <w:p w14:paraId="7750ADF3" w14:textId="3AD5F28E" w:rsidR="00214D9C" w:rsidRPr="00AE7C2C" w:rsidRDefault="00214D9C">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6E3FE4" w:rsidRPr="00AE7C2C">
        <w:rPr>
          <w:rFonts w:ascii="Times New Roman" w:hAnsi="Times New Roman" w:cs="Times New Roman"/>
          <w:sz w:val="18"/>
          <w:szCs w:val="18"/>
        </w:rPr>
        <w:t xml:space="preserve">FSOC, </w:t>
      </w:r>
      <w:r w:rsidR="00B40911" w:rsidRPr="00AE7C2C">
        <w:rPr>
          <w:rFonts w:ascii="Times New Roman" w:hAnsi="Times New Roman" w:cs="Times New Roman"/>
          <w:i/>
          <w:iCs/>
          <w:sz w:val="18"/>
          <w:szCs w:val="18"/>
        </w:rPr>
        <w:t>Designations</w:t>
      </w:r>
      <w:r w:rsidR="006E3FE4" w:rsidRPr="00AE7C2C">
        <w:rPr>
          <w:rFonts w:ascii="Times New Roman" w:hAnsi="Times New Roman" w:cs="Times New Roman"/>
          <w:sz w:val="18"/>
          <w:szCs w:val="18"/>
        </w:rPr>
        <w:t xml:space="preserve">, </w:t>
      </w:r>
      <w:r w:rsidR="00B803F5" w:rsidRPr="00AE7C2C">
        <w:rPr>
          <w:rFonts w:ascii="Times New Roman" w:hAnsi="Times New Roman" w:cs="Times New Roman"/>
          <w:sz w:val="18"/>
          <w:szCs w:val="18"/>
        </w:rPr>
        <w:t>https://home.treasury.gov/policy-issues/financial-markets-financial-institutions-and-fiscal-service/fsoc/designations</w:t>
      </w:r>
      <w:r w:rsidR="00554CA9" w:rsidRPr="00AE7C2C">
        <w:rPr>
          <w:rFonts w:ascii="Times New Roman" w:hAnsi="Times New Roman" w:cs="Times New Roman"/>
          <w:sz w:val="18"/>
          <w:szCs w:val="18"/>
        </w:rPr>
        <w:t xml:space="preserve"> (accessed May 4, 2023).</w:t>
      </w:r>
    </w:p>
  </w:footnote>
  <w:footnote w:id="22">
    <w:p w14:paraId="032DC82D" w14:textId="76E33742" w:rsidR="00EA52C6" w:rsidRPr="00AE7C2C" w:rsidRDefault="00EA52C6">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6E3FE4" w:rsidRPr="00AE7C2C">
        <w:rPr>
          <w:rFonts w:ascii="Times New Roman" w:hAnsi="Times New Roman" w:cs="Times New Roman"/>
          <w:smallCaps/>
          <w:sz w:val="18"/>
          <w:szCs w:val="18"/>
        </w:rPr>
        <w:t xml:space="preserve">FSOC, </w:t>
      </w:r>
      <w:r w:rsidR="00AD651E" w:rsidRPr="00AE7C2C">
        <w:rPr>
          <w:rFonts w:ascii="Times New Roman" w:hAnsi="Times New Roman" w:cs="Times New Roman"/>
          <w:smallCaps/>
          <w:sz w:val="18"/>
          <w:szCs w:val="18"/>
        </w:rPr>
        <w:t>2012 Annual Report</w:t>
      </w:r>
      <w:r w:rsidR="00AD651E" w:rsidRPr="00AE7C2C">
        <w:rPr>
          <w:rFonts w:ascii="Times New Roman" w:hAnsi="Times New Roman" w:cs="Times New Roman"/>
          <w:sz w:val="18"/>
          <w:szCs w:val="18"/>
        </w:rPr>
        <w:t xml:space="preserve"> </w:t>
      </w:r>
      <w:r w:rsidR="00E36167" w:rsidRPr="00AE7C2C">
        <w:rPr>
          <w:rFonts w:ascii="Times New Roman" w:hAnsi="Times New Roman" w:cs="Times New Roman"/>
          <w:sz w:val="18"/>
          <w:szCs w:val="18"/>
        </w:rPr>
        <w:t>145-146</w:t>
      </w:r>
      <w:r w:rsidR="00E96C53" w:rsidRPr="00AE7C2C">
        <w:rPr>
          <w:rFonts w:ascii="Times New Roman" w:hAnsi="Times New Roman" w:cs="Times New Roman"/>
          <w:sz w:val="18"/>
          <w:szCs w:val="18"/>
        </w:rPr>
        <w:t xml:space="preserve">, </w:t>
      </w:r>
      <w:r w:rsidR="00E36167" w:rsidRPr="00AE7C2C">
        <w:rPr>
          <w:rFonts w:ascii="Times New Roman" w:hAnsi="Times New Roman" w:cs="Times New Roman"/>
          <w:sz w:val="18"/>
          <w:szCs w:val="18"/>
        </w:rPr>
        <w:t>https://home.treasury.gov/system/files/261/here.pdf</w:t>
      </w:r>
      <w:r w:rsidR="00AD651E" w:rsidRPr="00AE7C2C">
        <w:rPr>
          <w:rFonts w:ascii="Times New Roman" w:hAnsi="Times New Roman" w:cs="Times New Roman"/>
          <w:sz w:val="18"/>
          <w:szCs w:val="18"/>
        </w:rPr>
        <w:t>.</w:t>
      </w:r>
      <w:r w:rsidR="008B1910" w:rsidRPr="00AE7C2C">
        <w:rPr>
          <w:rFonts w:ascii="Times New Roman" w:hAnsi="Times New Roman" w:cs="Times New Roman"/>
          <w:sz w:val="18"/>
          <w:szCs w:val="18"/>
        </w:rPr>
        <w:t xml:space="preserve"> </w:t>
      </w:r>
    </w:p>
  </w:footnote>
  <w:footnote w:id="23">
    <w:p w14:paraId="63189430" w14:textId="79315047" w:rsidR="00214D9C" w:rsidRPr="00AE7C2C" w:rsidRDefault="00214D9C">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1D2527">
        <w:rPr>
          <w:rFonts w:ascii="Times New Roman" w:hAnsi="Times New Roman" w:cs="Times New Roman"/>
          <w:sz w:val="18"/>
          <w:szCs w:val="18"/>
        </w:rPr>
        <w:t xml:space="preserve">FSOC, </w:t>
      </w:r>
      <w:r w:rsidR="001D2527" w:rsidRPr="005111FB">
        <w:rPr>
          <w:rFonts w:ascii="Times New Roman" w:hAnsi="Times New Roman" w:cs="Times New Roman"/>
          <w:sz w:val="18"/>
          <w:szCs w:val="18"/>
        </w:rPr>
        <w:t xml:space="preserve">Authority </w:t>
      </w:r>
      <w:proofErr w:type="gramStart"/>
      <w:r w:rsidR="001D2527" w:rsidRPr="005111FB">
        <w:rPr>
          <w:rFonts w:ascii="Times New Roman" w:hAnsi="Times New Roman" w:cs="Times New Roman"/>
          <w:sz w:val="18"/>
          <w:szCs w:val="18"/>
        </w:rPr>
        <w:t>To</w:t>
      </w:r>
      <w:proofErr w:type="gramEnd"/>
      <w:r w:rsidR="001D2527" w:rsidRPr="005111FB">
        <w:rPr>
          <w:rFonts w:ascii="Times New Roman" w:hAnsi="Times New Roman" w:cs="Times New Roman"/>
          <w:sz w:val="18"/>
          <w:szCs w:val="18"/>
        </w:rPr>
        <w:t xml:space="preserve"> Designate Financial Market Utilities as Systemically Important,</w:t>
      </w:r>
      <w:r w:rsidR="001D2527">
        <w:rPr>
          <w:rFonts w:ascii="Times New Roman" w:hAnsi="Times New Roman" w:cs="Times New Roman"/>
          <w:sz w:val="18"/>
          <w:szCs w:val="18"/>
        </w:rPr>
        <w:t xml:space="preserve"> </w:t>
      </w:r>
      <w:r w:rsidR="001D2527" w:rsidRPr="00AE7C2C">
        <w:rPr>
          <w:rFonts w:ascii="Times New Roman" w:hAnsi="Times New Roman" w:cs="Times New Roman"/>
          <w:sz w:val="18"/>
          <w:szCs w:val="18"/>
        </w:rPr>
        <w:t>76 F.R. 44763</w:t>
      </w:r>
      <w:r w:rsidR="001D2527">
        <w:rPr>
          <w:rFonts w:ascii="Times New Roman" w:hAnsi="Times New Roman" w:cs="Times New Roman"/>
          <w:sz w:val="18"/>
          <w:szCs w:val="18"/>
        </w:rPr>
        <w:t xml:space="preserve"> (Jul. 27, 2011), </w:t>
      </w:r>
      <w:r w:rsidR="001D2527" w:rsidRPr="005111FB">
        <w:rPr>
          <w:rFonts w:ascii="Times New Roman" w:hAnsi="Times New Roman" w:cs="Times New Roman"/>
          <w:sz w:val="18"/>
          <w:szCs w:val="18"/>
        </w:rPr>
        <w:t>https://home.treasury.gov/system/files/261/Final-Rule-on-Authority-to-Designate-Financial-Market-Utilities-as-Systemically-Important.pdf</w:t>
      </w:r>
      <w:r w:rsidR="001D2527">
        <w:rPr>
          <w:rFonts w:ascii="Times New Roman" w:hAnsi="Times New Roman" w:cs="Times New Roman"/>
          <w:sz w:val="18"/>
          <w:szCs w:val="18"/>
        </w:rPr>
        <w:t>.</w:t>
      </w:r>
    </w:p>
  </w:footnote>
  <w:footnote w:id="24">
    <w:p w14:paraId="07776612" w14:textId="73AF5DBB" w:rsidR="007C0082" w:rsidRPr="00AE7C2C" w:rsidRDefault="007C0082">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Fed, </w:t>
      </w:r>
      <w:r w:rsidRPr="00322667">
        <w:rPr>
          <w:rFonts w:ascii="Times New Roman" w:hAnsi="Times New Roman" w:cs="Times New Roman"/>
          <w:i/>
          <w:iCs/>
          <w:sz w:val="18"/>
          <w:szCs w:val="18"/>
        </w:rPr>
        <w:t>Designated Financial Market Utilities</w:t>
      </w:r>
      <w:r w:rsidRPr="00AE7C2C">
        <w:rPr>
          <w:rFonts w:ascii="Times New Roman" w:hAnsi="Times New Roman" w:cs="Times New Roman"/>
          <w:sz w:val="18"/>
          <w:szCs w:val="18"/>
        </w:rPr>
        <w:t xml:space="preserve"> </w:t>
      </w:r>
      <w:r w:rsidR="00322667">
        <w:rPr>
          <w:rFonts w:ascii="Times New Roman" w:hAnsi="Times New Roman" w:cs="Times New Roman"/>
          <w:sz w:val="18"/>
          <w:szCs w:val="18"/>
        </w:rPr>
        <w:t>(</w:t>
      </w:r>
      <w:r w:rsidR="00BA7560">
        <w:rPr>
          <w:rFonts w:ascii="Times New Roman" w:hAnsi="Times New Roman" w:cs="Times New Roman"/>
          <w:sz w:val="18"/>
          <w:szCs w:val="18"/>
        </w:rPr>
        <w:t>Jan. 29, 2015</w:t>
      </w:r>
      <w:proofErr w:type="gramStart"/>
      <w:r w:rsidR="00BA7560">
        <w:rPr>
          <w:rFonts w:ascii="Times New Roman" w:hAnsi="Times New Roman" w:cs="Times New Roman"/>
          <w:sz w:val="18"/>
          <w:szCs w:val="18"/>
        </w:rPr>
        <w:t xml:space="preserve">), </w:t>
      </w:r>
      <w:r w:rsidR="00B95B65" w:rsidRPr="00AE7C2C">
        <w:rPr>
          <w:rFonts w:ascii="Times New Roman" w:hAnsi="Times New Roman" w:cs="Times New Roman"/>
          <w:sz w:val="18"/>
          <w:szCs w:val="18"/>
        </w:rPr>
        <w:t xml:space="preserve"> https://www.federalreserve.gov/paymentsystems/designated_fmu_about.htm</w:t>
      </w:r>
      <w:proofErr w:type="gramEnd"/>
      <w:r w:rsidR="00B95B65" w:rsidRPr="00AE7C2C">
        <w:rPr>
          <w:rFonts w:ascii="Times New Roman" w:hAnsi="Times New Roman" w:cs="Times New Roman"/>
          <w:sz w:val="18"/>
          <w:szCs w:val="18"/>
        </w:rPr>
        <w:t>.</w:t>
      </w:r>
    </w:p>
  </w:footnote>
  <w:footnote w:id="25">
    <w:p w14:paraId="207B04D6" w14:textId="176FE0ED" w:rsidR="00C71A8A" w:rsidRPr="00AE7C2C" w:rsidRDefault="00C71A8A">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B77629">
        <w:rPr>
          <w:rFonts w:ascii="Times New Roman" w:hAnsi="Times New Roman" w:cs="Times New Roman"/>
          <w:sz w:val="18"/>
          <w:szCs w:val="18"/>
        </w:rPr>
        <w:t xml:space="preserve">FSOC, Authority </w:t>
      </w:r>
      <w:r w:rsidR="008F03FC">
        <w:rPr>
          <w:rFonts w:ascii="Times New Roman" w:hAnsi="Times New Roman" w:cs="Times New Roman"/>
          <w:sz w:val="18"/>
          <w:szCs w:val="18"/>
        </w:rPr>
        <w:t>t</w:t>
      </w:r>
      <w:r w:rsidR="00B77629">
        <w:rPr>
          <w:rFonts w:ascii="Times New Roman" w:hAnsi="Times New Roman" w:cs="Times New Roman"/>
          <w:sz w:val="18"/>
          <w:szCs w:val="18"/>
        </w:rPr>
        <w:t xml:space="preserve">o Require Supervision and Regulation of Certain Nonbank Financial Companies, </w:t>
      </w:r>
      <w:r w:rsidRPr="00AE7C2C">
        <w:rPr>
          <w:rFonts w:ascii="Times New Roman" w:hAnsi="Times New Roman" w:cs="Times New Roman"/>
          <w:sz w:val="18"/>
          <w:szCs w:val="18"/>
        </w:rPr>
        <w:t>77 F</w:t>
      </w:r>
      <w:r w:rsidR="00E305A2" w:rsidRPr="00AE7C2C">
        <w:rPr>
          <w:rFonts w:ascii="Times New Roman" w:hAnsi="Times New Roman" w:cs="Times New Roman"/>
          <w:sz w:val="18"/>
          <w:szCs w:val="18"/>
        </w:rPr>
        <w:t>.</w:t>
      </w:r>
      <w:r w:rsidR="009316EC" w:rsidRPr="00AE7C2C">
        <w:rPr>
          <w:rFonts w:ascii="Times New Roman" w:hAnsi="Times New Roman" w:cs="Times New Roman"/>
          <w:sz w:val="18"/>
          <w:szCs w:val="18"/>
        </w:rPr>
        <w:t>R</w:t>
      </w:r>
      <w:r w:rsidR="00E305A2" w:rsidRPr="00AE7C2C">
        <w:rPr>
          <w:rFonts w:ascii="Times New Roman" w:hAnsi="Times New Roman" w:cs="Times New Roman"/>
          <w:sz w:val="18"/>
          <w:szCs w:val="18"/>
        </w:rPr>
        <w:t>.</w:t>
      </w:r>
      <w:r w:rsidRPr="00AE7C2C">
        <w:rPr>
          <w:rFonts w:ascii="Times New Roman" w:hAnsi="Times New Roman" w:cs="Times New Roman"/>
          <w:sz w:val="18"/>
          <w:szCs w:val="18"/>
        </w:rPr>
        <w:t xml:space="preserve"> 21637</w:t>
      </w:r>
      <w:r w:rsidR="00B77629">
        <w:rPr>
          <w:rFonts w:ascii="Times New Roman" w:hAnsi="Times New Roman" w:cs="Times New Roman"/>
          <w:sz w:val="18"/>
          <w:szCs w:val="18"/>
        </w:rPr>
        <w:t xml:space="preserve"> (Apr. 11, 2012), </w:t>
      </w:r>
      <w:r w:rsidR="00B77629" w:rsidRPr="005066A3">
        <w:rPr>
          <w:rFonts w:ascii="Times New Roman" w:hAnsi="Times New Roman" w:cs="Times New Roman"/>
          <w:sz w:val="18"/>
          <w:szCs w:val="18"/>
        </w:rPr>
        <w:t>https://home.treasury.gov/system/files/261/Authority%20to%20Require%20Supervision%20and%20Regulation%20of%20Certain%20Nonbank%20Financial%20Companies.pdf</w:t>
      </w:r>
      <w:r w:rsidR="0010538D">
        <w:rPr>
          <w:rFonts w:ascii="Times New Roman" w:hAnsi="Times New Roman" w:cs="Times New Roman"/>
          <w:sz w:val="18"/>
          <w:szCs w:val="18"/>
        </w:rPr>
        <w:t xml:space="preserve"> (</w:t>
      </w:r>
      <w:r w:rsidR="0010538D" w:rsidRPr="00B533DD">
        <w:rPr>
          <w:rFonts w:ascii="Times New Roman" w:hAnsi="Times New Roman" w:cs="Times New Roman"/>
          <w:i/>
          <w:iCs/>
          <w:sz w:val="18"/>
          <w:szCs w:val="18"/>
        </w:rPr>
        <w:t>he</w:t>
      </w:r>
      <w:r w:rsidR="0010538D">
        <w:rPr>
          <w:rFonts w:ascii="Times New Roman" w:hAnsi="Times New Roman" w:cs="Times New Roman"/>
          <w:i/>
          <w:iCs/>
          <w:sz w:val="18"/>
          <w:szCs w:val="18"/>
        </w:rPr>
        <w:t>reinafter</w:t>
      </w:r>
      <w:r w:rsidR="0010538D">
        <w:rPr>
          <w:rFonts w:ascii="Times New Roman" w:hAnsi="Times New Roman" w:cs="Times New Roman"/>
          <w:sz w:val="18"/>
          <w:szCs w:val="18"/>
        </w:rPr>
        <w:t xml:space="preserve"> “2012 Non-bank Guidance”)</w:t>
      </w:r>
      <w:r w:rsidR="00B77629">
        <w:rPr>
          <w:rFonts w:ascii="Times New Roman" w:hAnsi="Times New Roman" w:cs="Times New Roman"/>
          <w:sz w:val="18"/>
          <w:szCs w:val="18"/>
        </w:rPr>
        <w:t xml:space="preserve">. </w:t>
      </w:r>
    </w:p>
  </w:footnote>
  <w:footnote w:id="26">
    <w:p w14:paraId="4BE6485A" w14:textId="70B71DD1" w:rsidR="008D776E" w:rsidRPr="00AE7C2C" w:rsidRDefault="008D776E">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61300B" w:rsidRPr="00AE7C2C">
        <w:rPr>
          <w:rFonts w:ascii="Times New Roman" w:hAnsi="Times New Roman" w:cs="Times New Roman"/>
          <w:sz w:val="18"/>
          <w:szCs w:val="18"/>
        </w:rPr>
        <w:t xml:space="preserve">FSOC, </w:t>
      </w:r>
      <w:r w:rsidRPr="00AE7C2C">
        <w:rPr>
          <w:rFonts w:ascii="Times New Roman" w:hAnsi="Times New Roman" w:cs="Times New Roman"/>
          <w:i/>
          <w:iCs/>
          <w:sz w:val="18"/>
          <w:szCs w:val="18"/>
        </w:rPr>
        <w:t>Basis of the Financial Stability Oversight Council’s Final Determination Regarding American International Group, Inc.</w:t>
      </w:r>
      <w:r w:rsidR="0061300B" w:rsidRPr="00AE7C2C">
        <w:rPr>
          <w:rFonts w:ascii="Times New Roman" w:hAnsi="Times New Roman" w:cs="Times New Roman"/>
          <w:sz w:val="18"/>
          <w:szCs w:val="18"/>
        </w:rPr>
        <w:t xml:space="preserve"> (</w:t>
      </w:r>
      <w:r w:rsidR="007B2378" w:rsidRPr="00AE7C2C">
        <w:rPr>
          <w:rFonts w:ascii="Times New Roman" w:hAnsi="Times New Roman" w:cs="Times New Roman"/>
          <w:sz w:val="18"/>
          <w:szCs w:val="18"/>
        </w:rPr>
        <w:t>Jul.</w:t>
      </w:r>
      <w:r w:rsidR="003668E6" w:rsidRPr="00AE7C2C">
        <w:rPr>
          <w:rFonts w:ascii="Times New Roman" w:hAnsi="Times New Roman" w:cs="Times New Roman"/>
          <w:sz w:val="18"/>
          <w:szCs w:val="18"/>
        </w:rPr>
        <w:t xml:space="preserve"> 8,</w:t>
      </w:r>
      <w:r w:rsidRPr="00AE7C2C">
        <w:rPr>
          <w:rFonts w:ascii="Times New Roman" w:hAnsi="Times New Roman" w:cs="Times New Roman"/>
          <w:sz w:val="18"/>
          <w:szCs w:val="18"/>
        </w:rPr>
        <w:t xml:space="preserve"> 2013</w:t>
      </w:r>
      <w:r w:rsidR="007D76CB" w:rsidRPr="00AE7C2C">
        <w:rPr>
          <w:rFonts w:ascii="Times New Roman" w:hAnsi="Times New Roman" w:cs="Times New Roman"/>
          <w:sz w:val="18"/>
          <w:szCs w:val="18"/>
        </w:rPr>
        <w:t>),</w:t>
      </w:r>
      <w:r w:rsidRPr="00AE7C2C">
        <w:rPr>
          <w:rFonts w:ascii="Times New Roman" w:hAnsi="Times New Roman" w:cs="Times New Roman"/>
          <w:sz w:val="18"/>
          <w:szCs w:val="18"/>
        </w:rPr>
        <w:t xml:space="preserve"> </w:t>
      </w:r>
      <w:r w:rsidR="00EE692E" w:rsidRPr="00EE692E">
        <w:rPr>
          <w:rFonts w:ascii="Times New Roman" w:hAnsi="Times New Roman" w:cs="Times New Roman"/>
          <w:sz w:val="18"/>
          <w:szCs w:val="18"/>
        </w:rPr>
        <w:t>https://home.treasury.gov/system/files/261/American%20International%20Group%2C%20Inc.pdf</w:t>
      </w:r>
      <w:r w:rsidR="00EE692E">
        <w:rPr>
          <w:rFonts w:ascii="Times New Roman" w:hAnsi="Times New Roman" w:cs="Times New Roman"/>
          <w:sz w:val="18"/>
          <w:szCs w:val="18"/>
        </w:rPr>
        <w:t xml:space="preserve"> </w:t>
      </w:r>
      <w:r w:rsidR="00EE692E" w:rsidRPr="00AE7C2C">
        <w:rPr>
          <w:rFonts w:ascii="Times New Roman" w:hAnsi="Times New Roman" w:cs="Times New Roman"/>
          <w:sz w:val="18"/>
          <w:szCs w:val="18"/>
        </w:rPr>
        <w:t>(</w:t>
      </w:r>
      <w:r w:rsidR="00EE692E" w:rsidRPr="00AE7C2C">
        <w:rPr>
          <w:rFonts w:ascii="Times New Roman" w:hAnsi="Times New Roman" w:cs="Times New Roman"/>
          <w:i/>
          <w:iCs/>
          <w:sz w:val="18"/>
          <w:szCs w:val="18"/>
        </w:rPr>
        <w:t>hereinafter</w:t>
      </w:r>
      <w:r w:rsidR="00EE692E" w:rsidRPr="00AE7C2C">
        <w:rPr>
          <w:rFonts w:ascii="Times New Roman" w:hAnsi="Times New Roman" w:cs="Times New Roman"/>
          <w:sz w:val="18"/>
          <w:szCs w:val="18"/>
        </w:rPr>
        <w:t xml:space="preserve"> “</w:t>
      </w:r>
      <w:r w:rsidR="00EE692E">
        <w:rPr>
          <w:rFonts w:ascii="Times New Roman" w:hAnsi="Times New Roman" w:cs="Times New Roman"/>
          <w:sz w:val="18"/>
          <w:szCs w:val="18"/>
        </w:rPr>
        <w:t xml:space="preserve">AIG </w:t>
      </w:r>
      <w:r w:rsidR="00EE692E" w:rsidRPr="00AE7C2C">
        <w:rPr>
          <w:rFonts w:ascii="Times New Roman" w:hAnsi="Times New Roman" w:cs="Times New Roman"/>
          <w:sz w:val="18"/>
          <w:szCs w:val="18"/>
        </w:rPr>
        <w:t>Designation Report”)</w:t>
      </w:r>
      <w:r w:rsidRPr="00AE7C2C">
        <w:rPr>
          <w:rFonts w:ascii="Times New Roman" w:hAnsi="Times New Roman" w:cs="Times New Roman"/>
          <w:sz w:val="18"/>
          <w:szCs w:val="18"/>
        </w:rPr>
        <w:t>;</w:t>
      </w:r>
      <w:r w:rsidR="00156CD6" w:rsidRPr="00AE7C2C">
        <w:rPr>
          <w:rFonts w:ascii="Times New Roman" w:hAnsi="Times New Roman" w:cs="Times New Roman"/>
          <w:sz w:val="18"/>
          <w:szCs w:val="18"/>
        </w:rPr>
        <w:t xml:space="preserve"> </w:t>
      </w:r>
      <w:r w:rsidR="007D76CB" w:rsidRPr="00AE7C2C">
        <w:rPr>
          <w:rFonts w:ascii="Times New Roman" w:hAnsi="Times New Roman" w:cs="Times New Roman"/>
          <w:sz w:val="18"/>
          <w:szCs w:val="18"/>
        </w:rPr>
        <w:t xml:space="preserve">FSOC, </w:t>
      </w:r>
      <w:r w:rsidR="00156CD6" w:rsidRPr="00AE7C2C">
        <w:rPr>
          <w:rFonts w:ascii="Times New Roman" w:hAnsi="Times New Roman" w:cs="Times New Roman"/>
          <w:i/>
          <w:iCs/>
          <w:sz w:val="18"/>
          <w:szCs w:val="18"/>
        </w:rPr>
        <w:t>Basis of the Financial Stability Oversight Council’s Final Determination Regarding General Electric Capital Corporation, Inc</w:t>
      </w:r>
      <w:r w:rsidR="007D76CB" w:rsidRPr="00AE7C2C">
        <w:rPr>
          <w:rFonts w:ascii="Times New Roman" w:hAnsi="Times New Roman" w:cs="Times New Roman"/>
          <w:i/>
          <w:iCs/>
          <w:sz w:val="18"/>
          <w:szCs w:val="18"/>
        </w:rPr>
        <w:t xml:space="preserve">. </w:t>
      </w:r>
      <w:r w:rsidR="007D76CB" w:rsidRPr="00AE7C2C">
        <w:rPr>
          <w:rFonts w:ascii="Times New Roman" w:hAnsi="Times New Roman" w:cs="Times New Roman"/>
          <w:sz w:val="18"/>
          <w:szCs w:val="18"/>
        </w:rPr>
        <w:t>(</w:t>
      </w:r>
      <w:r w:rsidR="007B2378" w:rsidRPr="00AE7C2C">
        <w:rPr>
          <w:rFonts w:ascii="Times New Roman" w:hAnsi="Times New Roman" w:cs="Times New Roman"/>
          <w:sz w:val="18"/>
          <w:szCs w:val="18"/>
        </w:rPr>
        <w:t>Jul.</w:t>
      </w:r>
      <w:r w:rsidR="00156CD6" w:rsidRPr="00AE7C2C">
        <w:rPr>
          <w:rFonts w:ascii="Times New Roman" w:hAnsi="Times New Roman" w:cs="Times New Roman"/>
          <w:sz w:val="18"/>
          <w:szCs w:val="18"/>
        </w:rPr>
        <w:t xml:space="preserve"> </w:t>
      </w:r>
      <w:r w:rsidR="00C80EF3" w:rsidRPr="00AE7C2C">
        <w:rPr>
          <w:rFonts w:ascii="Times New Roman" w:hAnsi="Times New Roman" w:cs="Times New Roman"/>
          <w:sz w:val="18"/>
          <w:szCs w:val="18"/>
        </w:rPr>
        <w:t xml:space="preserve">8, </w:t>
      </w:r>
      <w:r w:rsidR="00156CD6" w:rsidRPr="00AE7C2C">
        <w:rPr>
          <w:rFonts w:ascii="Times New Roman" w:hAnsi="Times New Roman" w:cs="Times New Roman"/>
          <w:sz w:val="18"/>
          <w:szCs w:val="18"/>
        </w:rPr>
        <w:t>2013</w:t>
      </w:r>
      <w:r w:rsidR="007D76CB" w:rsidRPr="00AE7C2C">
        <w:rPr>
          <w:rFonts w:ascii="Times New Roman" w:hAnsi="Times New Roman" w:cs="Times New Roman"/>
          <w:sz w:val="18"/>
          <w:szCs w:val="18"/>
        </w:rPr>
        <w:t>),</w:t>
      </w:r>
      <w:r w:rsidR="00156CD6" w:rsidRPr="00AE7C2C">
        <w:rPr>
          <w:rFonts w:ascii="Times New Roman" w:hAnsi="Times New Roman" w:cs="Times New Roman"/>
          <w:sz w:val="18"/>
          <w:szCs w:val="18"/>
        </w:rPr>
        <w:t xml:space="preserve"> https://home.treasury.gov/system/files/261/General%20Electric%20Capital%20Corporation%2C%20Inc.pdf</w:t>
      </w:r>
      <w:r w:rsidR="00AE7C2C" w:rsidRPr="00AE7C2C">
        <w:rPr>
          <w:rFonts w:ascii="Times New Roman" w:hAnsi="Times New Roman" w:cs="Times New Roman"/>
          <w:sz w:val="18"/>
          <w:szCs w:val="18"/>
        </w:rPr>
        <w:t xml:space="preserve"> (</w:t>
      </w:r>
      <w:r w:rsidR="00AE7C2C" w:rsidRPr="00AE7C2C">
        <w:rPr>
          <w:rFonts w:ascii="Times New Roman" w:hAnsi="Times New Roman" w:cs="Times New Roman"/>
          <w:i/>
          <w:iCs/>
          <w:sz w:val="18"/>
          <w:szCs w:val="18"/>
        </w:rPr>
        <w:t>hereinafter</w:t>
      </w:r>
      <w:r w:rsidR="00AE7C2C" w:rsidRPr="00AE7C2C">
        <w:rPr>
          <w:rFonts w:ascii="Times New Roman" w:hAnsi="Times New Roman" w:cs="Times New Roman"/>
          <w:sz w:val="18"/>
          <w:szCs w:val="18"/>
        </w:rPr>
        <w:t xml:space="preserve"> “GECC Designation Report”).</w:t>
      </w:r>
    </w:p>
  </w:footnote>
  <w:footnote w:id="27">
    <w:p w14:paraId="0171ED5B" w14:textId="77BE8979" w:rsidR="007861B0" w:rsidRPr="00AE7C2C" w:rsidRDefault="007861B0">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7D76CB" w:rsidRPr="00AE7C2C">
        <w:rPr>
          <w:rFonts w:ascii="Times New Roman" w:hAnsi="Times New Roman" w:cs="Times New Roman"/>
          <w:sz w:val="18"/>
          <w:szCs w:val="18"/>
        </w:rPr>
        <w:t xml:space="preserve">FSOC, </w:t>
      </w:r>
      <w:r w:rsidR="009B0024" w:rsidRPr="00AE7C2C">
        <w:rPr>
          <w:rFonts w:ascii="Times New Roman" w:hAnsi="Times New Roman" w:cs="Times New Roman"/>
          <w:i/>
          <w:iCs/>
          <w:sz w:val="18"/>
          <w:szCs w:val="18"/>
        </w:rPr>
        <w:t>Basis for the Financial Stability Oversit</w:t>
      </w:r>
      <w:r w:rsidR="00394271" w:rsidRPr="00AE7C2C">
        <w:rPr>
          <w:rFonts w:ascii="Times New Roman" w:hAnsi="Times New Roman" w:cs="Times New Roman"/>
          <w:i/>
          <w:iCs/>
          <w:sz w:val="18"/>
          <w:szCs w:val="18"/>
        </w:rPr>
        <w:t>e Council’s Final Determination Regarding Prudential Financial, Inc</w:t>
      </w:r>
      <w:r w:rsidR="0006385E" w:rsidRPr="00AE7C2C">
        <w:rPr>
          <w:rFonts w:ascii="Times New Roman" w:hAnsi="Times New Roman" w:cs="Times New Roman"/>
          <w:i/>
          <w:iCs/>
          <w:sz w:val="18"/>
          <w:szCs w:val="18"/>
        </w:rPr>
        <w:t>.</w:t>
      </w:r>
      <w:r w:rsidR="00BD0F60" w:rsidRPr="00AE7C2C">
        <w:rPr>
          <w:rFonts w:ascii="Times New Roman" w:hAnsi="Times New Roman" w:cs="Times New Roman"/>
          <w:sz w:val="18"/>
          <w:szCs w:val="18"/>
        </w:rPr>
        <w:t xml:space="preserve"> </w:t>
      </w:r>
      <w:r w:rsidR="0006385E" w:rsidRPr="00AE7C2C">
        <w:rPr>
          <w:rFonts w:ascii="Times New Roman" w:hAnsi="Times New Roman" w:cs="Times New Roman"/>
          <w:sz w:val="18"/>
          <w:szCs w:val="18"/>
        </w:rPr>
        <w:t>(</w:t>
      </w:r>
      <w:r w:rsidR="00BD0F60" w:rsidRPr="00AE7C2C">
        <w:rPr>
          <w:rFonts w:ascii="Times New Roman" w:hAnsi="Times New Roman" w:cs="Times New Roman"/>
          <w:sz w:val="18"/>
          <w:szCs w:val="18"/>
        </w:rPr>
        <w:t>Sep.</w:t>
      </w:r>
      <w:r w:rsidR="009205ED" w:rsidRPr="00AE7C2C">
        <w:rPr>
          <w:rFonts w:ascii="Times New Roman" w:hAnsi="Times New Roman" w:cs="Times New Roman"/>
          <w:sz w:val="18"/>
          <w:szCs w:val="18"/>
        </w:rPr>
        <w:t xml:space="preserve"> 19, 2013</w:t>
      </w:r>
      <w:r w:rsidR="0006385E" w:rsidRPr="00AE7C2C">
        <w:rPr>
          <w:rFonts w:ascii="Times New Roman" w:hAnsi="Times New Roman" w:cs="Times New Roman"/>
          <w:sz w:val="18"/>
          <w:szCs w:val="18"/>
        </w:rPr>
        <w:t>),</w:t>
      </w:r>
      <w:r w:rsidR="009205ED" w:rsidRPr="00AE7C2C">
        <w:rPr>
          <w:rFonts w:ascii="Times New Roman" w:hAnsi="Times New Roman" w:cs="Times New Roman"/>
          <w:sz w:val="18"/>
          <w:szCs w:val="18"/>
        </w:rPr>
        <w:t xml:space="preserve"> </w:t>
      </w:r>
      <w:r w:rsidRPr="00AE7C2C">
        <w:rPr>
          <w:rFonts w:ascii="Times New Roman" w:hAnsi="Times New Roman" w:cs="Times New Roman"/>
          <w:sz w:val="18"/>
          <w:szCs w:val="18"/>
        </w:rPr>
        <w:t>https://home.treasury.gov/system/files/261/Prudential%20Financial%20Inc.pdf</w:t>
      </w:r>
      <w:r w:rsidR="00EE692E">
        <w:rPr>
          <w:rFonts w:ascii="Times New Roman" w:hAnsi="Times New Roman" w:cs="Times New Roman"/>
          <w:sz w:val="18"/>
          <w:szCs w:val="18"/>
        </w:rPr>
        <w:t xml:space="preserve"> </w:t>
      </w:r>
      <w:r w:rsidR="00EE692E" w:rsidRPr="00AE7C2C">
        <w:rPr>
          <w:rFonts w:ascii="Times New Roman" w:hAnsi="Times New Roman" w:cs="Times New Roman"/>
          <w:sz w:val="18"/>
          <w:szCs w:val="18"/>
        </w:rPr>
        <w:t>(</w:t>
      </w:r>
      <w:r w:rsidR="00EE692E" w:rsidRPr="00AE7C2C">
        <w:rPr>
          <w:rFonts w:ascii="Times New Roman" w:hAnsi="Times New Roman" w:cs="Times New Roman"/>
          <w:i/>
          <w:iCs/>
          <w:sz w:val="18"/>
          <w:szCs w:val="18"/>
        </w:rPr>
        <w:t>hereinafter</w:t>
      </w:r>
      <w:r w:rsidR="00EE692E" w:rsidRPr="00AE7C2C">
        <w:rPr>
          <w:rFonts w:ascii="Times New Roman" w:hAnsi="Times New Roman" w:cs="Times New Roman"/>
          <w:sz w:val="18"/>
          <w:szCs w:val="18"/>
        </w:rPr>
        <w:t xml:space="preserve"> “</w:t>
      </w:r>
      <w:r w:rsidR="00EE692E">
        <w:rPr>
          <w:rFonts w:ascii="Times New Roman" w:hAnsi="Times New Roman" w:cs="Times New Roman"/>
          <w:sz w:val="18"/>
          <w:szCs w:val="18"/>
        </w:rPr>
        <w:t xml:space="preserve">Prudential </w:t>
      </w:r>
      <w:r w:rsidR="00EE692E" w:rsidRPr="00AE7C2C">
        <w:rPr>
          <w:rFonts w:ascii="Times New Roman" w:hAnsi="Times New Roman" w:cs="Times New Roman"/>
          <w:sz w:val="18"/>
          <w:szCs w:val="18"/>
        </w:rPr>
        <w:t>Designation Report”);</w:t>
      </w:r>
      <w:r w:rsidR="00A659EF" w:rsidRPr="00AE7C2C">
        <w:rPr>
          <w:rFonts w:ascii="Times New Roman" w:hAnsi="Times New Roman" w:cs="Times New Roman"/>
          <w:sz w:val="18"/>
          <w:szCs w:val="18"/>
        </w:rPr>
        <w:t xml:space="preserve"> </w:t>
      </w:r>
      <w:r w:rsidR="0006385E" w:rsidRPr="00AE7C2C">
        <w:rPr>
          <w:rFonts w:ascii="Times New Roman" w:hAnsi="Times New Roman" w:cs="Times New Roman"/>
          <w:sz w:val="18"/>
          <w:szCs w:val="18"/>
        </w:rPr>
        <w:t xml:space="preserve">FSOC, </w:t>
      </w:r>
      <w:r w:rsidR="00A659EF" w:rsidRPr="00AE7C2C">
        <w:rPr>
          <w:rFonts w:ascii="Times New Roman" w:hAnsi="Times New Roman" w:cs="Times New Roman"/>
          <w:i/>
          <w:iCs/>
          <w:sz w:val="18"/>
          <w:szCs w:val="18"/>
        </w:rPr>
        <w:t xml:space="preserve">Basis for the Financial Stability Oversite Council’s Final Determination Regarding </w:t>
      </w:r>
      <w:proofErr w:type="spellStart"/>
      <w:r w:rsidR="00A659EF" w:rsidRPr="00AE7C2C">
        <w:rPr>
          <w:rFonts w:ascii="Times New Roman" w:hAnsi="Times New Roman" w:cs="Times New Roman"/>
          <w:i/>
          <w:iCs/>
          <w:sz w:val="18"/>
          <w:szCs w:val="18"/>
        </w:rPr>
        <w:t>Metlife</w:t>
      </w:r>
      <w:proofErr w:type="spellEnd"/>
      <w:r w:rsidR="00A659EF" w:rsidRPr="00AE7C2C">
        <w:rPr>
          <w:rFonts w:ascii="Times New Roman" w:hAnsi="Times New Roman" w:cs="Times New Roman"/>
          <w:i/>
          <w:iCs/>
          <w:sz w:val="18"/>
          <w:szCs w:val="18"/>
        </w:rPr>
        <w:t>, Inc.</w:t>
      </w:r>
      <w:r w:rsidR="00A659EF" w:rsidRPr="00AE7C2C">
        <w:rPr>
          <w:rFonts w:ascii="Times New Roman" w:hAnsi="Times New Roman" w:cs="Times New Roman"/>
          <w:sz w:val="18"/>
          <w:szCs w:val="18"/>
        </w:rPr>
        <w:t xml:space="preserve"> </w:t>
      </w:r>
      <w:r w:rsidR="000A59B8" w:rsidRPr="00AE7C2C">
        <w:rPr>
          <w:rFonts w:ascii="Times New Roman" w:hAnsi="Times New Roman" w:cs="Times New Roman"/>
          <w:sz w:val="18"/>
          <w:szCs w:val="18"/>
        </w:rPr>
        <w:t>(</w:t>
      </w:r>
      <w:r w:rsidR="00BD0F60" w:rsidRPr="00AE7C2C">
        <w:rPr>
          <w:rFonts w:ascii="Times New Roman" w:hAnsi="Times New Roman" w:cs="Times New Roman"/>
          <w:sz w:val="18"/>
          <w:szCs w:val="18"/>
        </w:rPr>
        <w:t>Dec.</w:t>
      </w:r>
      <w:r w:rsidR="007E28AF" w:rsidRPr="00AE7C2C">
        <w:rPr>
          <w:rFonts w:ascii="Times New Roman" w:hAnsi="Times New Roman" w:cs="Times New Roman"/>
          <w:sz w:val="18"/>
          <w:szCs w:val="18"/>
        </w:rPr>
        <w:t xml:space="preserve"> 18</w:t>
      </w:r>
      <w:r w:rsidR="00A659EF" w:rsidRPr="00AE7C2C">
        <w:rPr>
          <w:rFonts w:ascii="Times New Roman" w:hAnsi="Times New Roman" w:cs="Times New Roman"/>
          <w:sz w:val="18"/>
          <w:szCs w:val="18"/>
        </w:rPr>
        <w:t>, 201</w:t>
      </w:r>
      <w:r w:rsidR="007E28AF" w:rsidRPr="00AE7C2C">
        <w:rPr>
          <w:rFonts w:ascii="Times New Roman" w:hAnsi="Times New Roman" w:cs="Times New Roman"/>
          <w:sz w:val="18"/>
          <w:szCs w:val="18"/>
        </w:rPr>
        <w:t>4</w:t>
      </w:r>
      <w:r w:rsidR="000A59B8" w:rsidRPr="00AE7C2C">
        <w:rPr>
          <w:rFonts w:ascii="Times New Roman" w:hAnsi="Times New Roman" w:cs="Times New Roman"/>
          <w:sz w:val="18"/>
          <w:szCs w:val="18"/>
        </w:rPr>
        <w:t>),</w:t>
      </w:r>
      <w:r w:rsidR="00A659EF" w:rsidRPr="00AE7C2C">
        <w:rPr>
          <w:rFonts w:ascii="Times New Roman" w:hAnsi="Times New Roman" w:cs="Times New Roman"/>
          <w:sz w:val="18"/>
          <w:szCs w:val="18"/>
        </w:rPr>
        <w:t xml:space="preserve"> </w:t>
      </w:r>
      <w:proofErr w:type="gramStart"/>
      <w:r w:rsidR="00B06821" w:rsidRPr="00B06821">
        <w:rPr>
          <w:rFonts w:ascii="Times New Roman" w:hAnsi="Times New Roman" w:cs="Times New Roman"/>
          <w:sz w:val="18"/>
          <w:szCs w:val="18"/>
        </w:rPr>
        <w:t>https://home.treasury.gov/system/files/261/MetLife%2C%20Inc..</w:t>
      </w:r>
      <w:proofErr w:type="gramEnd"/>
      <w:r w:rsidR="00B06821" w:rsidRPr="00B06821">
        <w:rPr>
          <w:rFonts w:ascii="Times New Roman" w:hAnsi="Times New Roman" w:cs="Times New Roman"/>
          <w:sz w:val="18"/>
          <w:szCs w:val="18"/>
        </w:rPr>
        <w:t xml:space="preserve">pdf </w:t>
      </w:r>
      <w:r w:rsidR="00BD0F60" w:rsidRPr="00AE7C2C">
        <w:rPr>
          <w:rFonts w:ascii="Times New Roman" w:hAnsi="Times New Roman" w:cs="Times New Roman"/>
          <w:sz w:val="18"/>
          <w:szCs w:val="18"/>
        </w:rPr>
        <w:t>(</w:t>
      </w:r>
      <w:r w:rsidR="00BD0F60" w:rsidRPr="00AE7C2C">
        <w:rPr>
          <w:rFonts w:ascii="Times New Roman" w:hAnsi="Times New Roman" w:cs="Times New Roman"/>
          <w:i/>
          <w:iCs/>
          <w:sz w:val="18"/>
          <w:szCs w:val="18"/>
        </w:rPr>
        <w:t>hereinafter</w:t>
      </w:r>
      <w:r w:rsidR="00BD0F60" w:rsidRPr="00AE7C2C">
        <w:rPr>
          <w:rFonts w:ascii="Times New Roman" w:hAnsi="Times New Roman" w:cs="Times New Roman"/>
          <w:sz w:val="18"/>
          <w:szCs w:val="18"/>
        </w:rPr>
        <w:t xml:space="preserve"> “MetLife Designation Report”).</w:t>
      </w:r>
    </w:p>
  </w:footnote>
  <w:footnote w:id="28">
    <w:p w14:paraId="2B18341B" w14:textId="36C7C017" w:rsidR="00C660AB" w:rsidRPr="007511ED" w:rsidRDefault="00C660AB">
      <w:pPr>
        <w:pStyle w:val="FootnoteText"/>
        <w:rPr>
          <w:rFonts w:ascii="Times New Roman" w:hAnsi="Times New Roman" w:cs="Times New Roman"/>
          <w:sz w:val="18"/>
          <w:szCs w:val="18"/>
        </w:rPr>
      </w:pPr>
      <w:r w:rsidRPr="00B123C3">
        <w:rPr>
          <w:rStyle w:val="FootnoteReference"/>
          <w:rFonts w:ascii="Times New Roman" w:hAnsi="Times New Roman" w:cs="Times New Roman"/>
          <w:sz w:val="18"/>
          <w:szCs w:val="18"/>
        </w:rPr>
        <w:footnoteRef/>
      </w:r>
      <w:r w:rsidR="00FF33A0" w:rsidRPr="00A918B4">
        <w:rPr>
          <w:rFonts w:ascii="Times New Roman" w:hAnsi="Times New Roman" w:cs="Times New Roman"/>
          <w:sz w:val="18"/>
          <w:szCs w:val="18"/>
        </w:rPr>
        <w:t xml:space="preserve"> </w:t>
      </w:r>
      <w:r w:rsidR="00890A1F">
        <w:rPr>
          <w:rFonts w:ascii="Times New Roman" w:hAnsi="Times New Roman" w:cs="Times New Roman"/>
          <w:i/>
          <w:iCs/>
          <w:sz w:val="18"/>
          <w:szCs w:val="18"/>
        </w:rPr>
        <w:t xml:space="preserve">See </w:t>
      </w:r>
      <w:r w:rsidR="00FF33A0" w:rsidRPr="00A918B4">
        <w:rPr>
          <w:rFonts w:ascii="Times New Roman" w:hAnsi="Times New Roman" w:cs="Times New Roman"/>
          <w:sz w:val="18"/>
          <w:szCs w:val="18"/>
        </w:rPr>
        <w:t>Andrew Ackerman &amp; Ryan Tracy,</w:t>
      </w:r>
      <w:r>
        <w:t xml:space="preserve"> </w:t>
      </w:r>
      <w:r w:rsidR="007511ED">
        <w:rPr>
          <w:rFonts w:ascii="Times New Roman" w:hAnsi="Times New Roman" w:cs="Times New Roman"/>
          <w:i/>
          <w:iCs/>
          <w:sz w:val="18"/>
          <w:szCs w:val="18"/>
        </w:rPr>
        <w:t>Asset Managers Notch an ‘Important’ Win</w:t>
      </w:r>
      <w:r w:rsidR="00D96AB3">
        <w:rPr>
          <w:rFonts w:ascii="Times New Roman" w:hAnsi="Times New Roman" w:cs="Times New Roman"/>
          <w:sz w:val="18"/>
          <w:szCs w:val="18"/>
        </w:rPr>
        <w:t xml:space="preserve"> (Jul. 31, 2014), </w:t>
      </w:r>
      <w:r w:rsidR="00FF33A0" w:rsidRPr="00A918B4">
        <w:rPr>
          <w:rFonts w:ascii="Times New Roman" w:hAnsi="Times New Roman" w:cs="Times New Roman"/>
          <w:i/>
          <w:iCs/>
          <w:sz w:val="18"/>
          <w:szCs w:val="18"/>
        </w:rPr>
        <w:t>The Wall Street Journal</w:t>
      </w:r>
      <w:r w:rsidR="00FF33A0">
        <w:rPr>
          <w:rFonts w:ascii="Times New Roman" w:hAnsi="Times New Roman" w:cs="Times New Roman"/>
          <w:sz w:val="18"/>
          <w:szCs w:val="18"/>
        </w:rPr>
        <w:t xml:space="preserve">, </w:t>
      </w:r>
      <w:r w:rsidR="00D96AB3" w:rsidRPr="00B933B1">
        <w:rPr>
          <w:rFonts w:ascii="Times New Roman" w:hAnsi="Times New Roman" w:cs="Times New Roman"/>
          <w:sz w:val="18"/>
          <w:szCs w:val="18"/>
        </w:rPr>
        <w:t>https://www.wsj.com/articles/asset-managers-may-avoid-more-oversight-by-fsoc-1406828103</w:t>
      </w:r>
      <w:r w:rsidR="00D96AB3">
        <w:rPr>
          <w:rFonts w:ascii="Times New Roman" w:hAnsi="Times New Roman" w:cs="Times New Roman"/>
          <w:sz w:val="18"/>
          <w:szCs w:val="18"/>
        </w:rPr>
        <w:t>.</w:t>
      </w:r>
      <w:r w:rsidRPr="007511ED">
        <w:rPr>
          <w:rFonts w:ascii="Times New Roman" w:hAnsi="Times New Roman" w:cs="Times New Roman"/>
          <w:sz w:val="18"/>
          <w:szCs w:val="18"/>
        </w:rPr>
        <w:t xml:space="preserve"> </w:t>
      </w:r>
    </w:p>
  </w:footnote>
  <w:footnote w:id="29">
    <w:p w14:paraId="76CFE3BB" w14:textId="3148D16E" w:rsidR="00CF2ED2" w:rsidRPr="00A72F73" w:rsidRDefault="00CF2ED2">
      <w:pPr>
        <w:pStyle w:val="FootnoteText"/>
        <w:rPr>
          <w:rFonts w:ascii="Times New Roman" w:hAnsi="Times New Roman" w:cs="Times New Roman"/>
          <w:sz w:val="18"/>
          <w:szCs w:val="18"/>
        </w:rPr>
      </w:pPr>
      <w:r w:rsidRPr="00B123C3">
        <w:rPr>
          <w:rStyle w:val="FootnoteReference"/>
          <w:rFonts w:ascii="Times New Roman" w:hAnsi="Times New Roman" w:cs="Times New Roman"/>
          <w:sz w:val="18"/>
          <w:szCs w:val="18"/>
        </w:rPr>
        <w:footnoteRef/>
      </w:r>
      <w:r w:rsidRPr="00B123C3">
        <w:rPr>
          <w:rFonts w:ascii="Times New Roman" w:hAnsi="Times New Roman" w:cs="Times New Roman"/>
          <w:sz w:val="18"/>
          <w:szCs w:val="18"/>
        </w:rPr>
        <w:t xml:space="preserve"> </w:t>
      </w:r>
      <w:r w:rsidR="00B933B1" w:rsidRPr="00A72F73">
        <w:rPr>
          <w:rFonts w:ascii="Times New Roman" w:hAnsi="Times New Roman" w:cs="Times New Roman"/>
          <w:sz w:val="18"/>
          <w:szCs w:val="18"/>
        </w:rPr>
        <w:t xml:space="preserve">FSOC, Proposed Recommendations Regarding Money Market </w:t>
      </w:r>
      <w:r w:rsidR="00A72F73" w:rsidRPr="00A72F73">
        <w:rPr>
          <w:rFonts w:ascii="Times New Roman" w:hAnsi="Times New Roman" w:cs="Times New Roman"/>
          <w:sz w:val="18"/>
          <w:szCs w:val="18"/>
        </w:rPr>
        <w:t xml:space="preserve">Mutual Fund Reform, </w:t>
      </w:r>
      <w:r w:rsidR="00A72F73">
        <w:rPr>
          <w:rFonts w:ascii="Times New Roman" w:hAnsi="Times New Roman" w:cs="Times New Roman"/>
          <w:sz w:val="18"/>
          <w:szCs w:val="18"/>
        </w:rPr>
        <w:t xml:space="preserve">77 F. R. 69455 (Nov. 19, 2012), </w:t>
      </w:r>
      <w:r w:rsidR="00C23E23" w:rsidRPr="005066A3">
        <w:rPr>
          <w:rFonts w:ascii="Times New Roman" w:hAnsi="Times New Roman" w:cs="Times New Roman"/>
          <w:sz w:val="18"/>
          <w:szCs w:val="18"/>
        </w:rPr>
        <w:t>https://www.govinfo.gov/content/pkg/FR-2012-11-19/pdf/2012-28041.pdf</w:t>
      </w:r>
      <w:r w:rsidR="00C23E23">
        <w:rPr>
          <w:rFonts w:ascii="Times New Roman" w:hAnsi="Times New Roman" w:cs="Times New Roman"/>
          <w:sz w:val="18"/>
          <w:szCs w:val="18"/>
        </w:rPr>
        <w:t xml:space="preserve">. </w:t>
      </w:r>
    </w:p>
  </w:footnote>
  <w:footnote w:id="30">
    <w:p w14:paraId="39C4DFF7" w14:textId="4117C763" w:rsidR="00877905" w:rsidRPr="00DC27B4" w:rsidRDefault="00877905">
      <w:pPr>
        <w:pStyle w:val="FootnoteText"/>
        <w:rPr>
          <w:rFonts w:ascii="Times New Roman" w:hAnsi="Times New Roman" w:cs="Times New Roman"/>
        </w:rPr>
      </w:pPr>
      <w:r w:rsidRPr="00B123C3">
        <w:rPr>
          <w:rStyle w:val="FootnoteReference"/>
          <w:rFonts w:ascii="Times New Roman" w:hAnsi="Times New Roman" w:cs="Times New Roman"/>
          <w:sz w:val="18"/>
          <w:szCs w:val="18"/>
        </w:rPr>
        <w:footnoteRef/>
      </w:r>
      <w:r w:rsidRPr="00B123C3">
        <w:rPr>
          <w:rFonts w:ascii="Times New Roman" w:hAnsi="Times New Roman" w:cs="Times New Roman"/>
          <w:sz w:val="18"/>
          <w:szCs w:val="18"/>
        </w:rPr>
        <w:t xml:space="preserve"> </w:t>
      </w:r>
      <w:r w:rsidR="00BA16F5">
        <w:rPr>
          <w:rFonts w:ascii="Times New Roman" w:hAnsi="Times New Roman" w:cs="Times New Roman"/>
          <w:i/>
          <w:iCs/>
          <w:sz w:val="18"/>
          <w:szCs w:val="18"/>
        </w:rPr>
        <w:t>See</w:t>
      </w:r>
      <w:r w:rsidR="00BA16F5" w:rsidRPr="00B533DD">
        <w:rPr>
          <w:rFonts w:ascii="Times New Roman" w:hAnsi="Times New Roman" w:cs="Times New Roman"/>
          <w:sz w:val="18"/>
          <w:szCs w:val="18"/>
        </w:rPr>
        <w:t xml:space="preserve">, </w:t>
      </w:r>
      <w:r w:rsidR="00BA16F5">
        <w:rPr>
          <w:rFonts w:ascii="Times New Roman" w:hAnsi="Times New Roman" w:cs="Times New Roman"/>
          <w:i/>
          <w:iCs/>
          <w:sz w:val="18"/>
          <w:szCs w:val="18"/>
        </w:rPr>
        <w:t>e.g.</w:t>
      </w:r>
      <w:r w:rsidR="00BA16F5" w:rsidRPr="00B533DD">
        <w:rPr>
          <w:rFonts w:ascii="Times New Roman" w:hAnsi="Times New Roman" w:cs="Times New Roman"/>
          <w:sz w:val="18"/>
          <w:szCs w:val="18"/>
        </w:rPr>
        <w:t>,</w:t>
      </w:r>
      <w:r w:rsidR="00BA16F5">
        <w:rPr>
          <w:rFonts w:ascii="Times New Roman" w:hAnsi="Times New Roman" w:cs="Times New Roman"/>
          <w:i/>
          <w:iCs/>
          <w:sz w:val="18"/>
          <w:szCs w:val="18"/>
        </w:rPr>
        <w:t xml:space="preserve"> </w:t>
      </w:r>
      <w:r w:rsidR="00B123C3">
        <w:rPr>
          <w:rFonts w:ascii="Times New Roman" w:hAnsi="Times New Roman" w:cs="Times New Roman"/>
          <w:sz w:val="18"/>
          <w:szCs w:val="18"/>
        </w:rPr>
        <w:t xml:space="preserve">Investment Company Institute, </w:t>
      </w:r>
      <w:r w:rsidR="00B123C3">
        <w:rPr>
          <w:rFonts w:ascii="Times New Roman" w:hAnsi="Times New Roman" w:cs="Times New Roman"/>
          <w:i/>
          <w:iCs/>
          <w:sz w:val="18"/>
          <w:szCs w:val="18"/>
        </w:rPr>
        <w:t xml:space="preserve">Comment Letter of the Investment Company Institute on </w:t>
      </w:r>
      <w:r w:rsidR="00DC27B4">
        <w:rPr>
          <w:rFonts w:ascii="Times New Roman" w:hAnsi="Times New Roman" w:cs="Times New Roman"/>
          <w:i/>
          <w:iCs/>
          <w:sz w:val="18"/>
          <w:szCs w:val="18"/>
        </w:rPr>
        <w:t>Financial Stability Oversight Council Proposed Recommendations Regarding Money Market Mutual Fund Reform</w:t>
      </w:r>
      <w:r w:rsidR="00DC27B4">
        <w:rPr>
          <w:rFonts w:ascii="Times New Roman" w:hAnsi="Times New Roman" w:cs="Times New Roman"/>
          <w:sz w:val="18"/>
          <w:szCs w:val="18"/>
        </w:rPr>
        <w:t xml:space="preserve"> (Jan. 24, 2013), </w:t>
      </w:r>
      <w:r w:rsidR="005066A3" w:rsidRPr="005066A3">
        <w:rPr>
          <w:rFonts w:ascii="Times New Roman" w:hAnsi="Times New Roman" w:cs="Times New Roman"/>
          <w:sz w:val="18"/>
          <w:szCs w:val="18"/>
        </w:rPr>
        <w:t>https://www.ici.org/doc-server/pdf%3A13_fsoc_mmf_recs.pdf</w:t>
      </w:r>
      <w:r w:rsidR="005066A3">
        <w:rPr>
          <w:rFonts w:ascii="Times New Roman" w:hAnsi="Times New Roman" w:cs="Times New Roman"/>
          <w:sz w:val="18"/>
          <w:szCs w:val="18"/>
        </w:rPr>
        <w:t xml:space="preserve">. </w:t>
      </w:r>
    </w:p>
  </w:footnote>
  <w:footnote w:id="31">
    <w:p w14:paraId="0A91D736" w14:textId="415728E2" w:rsidR="00F56003" w:rsidRPr="00A12A00" w:rsidRDefault="00F56003">
      <w:pPr>
        <w:pStyle w:val="FootnoteText"/>
        <w:rPr>
          <w:rFonts w:ascii="Times New Roman" w:hAnsi="Times New Roman" w:cs="Times New Roman"/>
          <w:sz w:val="18"/>
          <w:szCs w:val="18"/>
        </w:rPr>
      </w:pPr>
      <w:r w:rsidRPr="00A12A00">
        <w:rPr>
          <w:rStyle w:val="FootnoteReference"/>
          <w:rFonts w:ascii="Times New Roman" w:hAnsi="Times New Roman" w:cs="Times New Roman"/>
          <w:sz w:val="18"/>
          <w:szCs w:val="18"/>
        </w:rPr>
        <w:footnoteRef/>
      </w:r>
      <w:r w:rsidRPr="00A12A00">
        <w:rPr>
          <w:rFonts w:ascii="Times New Roman" w:hAnsi="Times New Roman" w:cs="Times New Roman"/>
          <w:sz w:val="18"/>
          <w:szCs w:val="18"/>
        </w:rPr>
        <w:t xml:space="preserve"> </w:t>
      </w:r>
      <w:r w:rsidR="00D90A41">
        <w:rPr>
          <w:rFonts w:ascii="Times New Roman" w:hAnsi="Times New Roman" w:cs="Times New Roman"/>
          <w:i/>
          <w:iCs/>
          <w:sz w:val="18"/>
          <w:szCs w:val="18"/>
        </w:rPr>
        <w:t xml:space="preserve">See </w:t>
      </w:r>
      <w:r w:rsidR="00A12A00">
        <w:rPr>
          <w:rFonts w:ascii="Times New Roman" w:hAnsi="Times New Roman" w:cs="Times New Roman"/>
          <w:sz w:val="18"/>
          <w:szCs w:val="18"/>
        </w:rPr>
        <w:t xml:space="preserve">SEC, </w:t>
      </w:r>
      <w:r w:rsidR="007307AC">
        <w:rPr>
          <w:rFonts w:ascii="Times New Roman" w:hAnsi="Times New Roman" w:cs="Times New Roman"/>
          <w:sz w:val="18"/>
          <w:szCs w:val="18"/>
        </w:rPr>
        <w:t xml:space="preserve">Money Market Fund Reform; Amendments to Form PF, </w:t>
      </w:r>
      <w:r w:rsidR="00F90DA5">
        <w:rPr>
          <w:rFonts w:ascii="Times New Roman" w:hAnsi="Times New Roman" w:cs="Times New Roman"/>
          <w:sz w:val="18"/>
          <w:szCs w:val="18"/>
        </w:rPr>
        <w:t xml:space="preserve">79 F.R. 47736 (Aug. 14, 2014), </w:t>
      </w:r>
      <w:r w:rsidR="00F90DA5" w:rsidRPr="00F90DA5">
        <w:rPr>
          <w:rFonts w:ascii="Times New Roman" w:hAnsi="Times New Roman" w:cs="Times New Roman"/>
          <w:sz w:val="18"/>
          <w:szCs w:val="18"/>
        </w:rPr>
        <w:t>https://www.govinfo.gov/content/pkg/FR-2014-08-14/pdf/2014-17747.pdf</w:t>
      </w:r>
      <w:r w:rsidR="00F90DA5">
        <w:rPr>
          <w:rFonts w:ascii="Times New Roman" w:hAnsi="Times New Roman" w:cs="Times New Roman"/>
          <w:sz w:val="18"/>
          <w:szCs w:val="18"/>
        </w:rPr>
        <w:t xml:space="preserve">. </w:t>
      </w:r>
    </w:p>
  </w:footnote>
  <w:footnote w:id="32">
    <w:p w14:paraId="11D86C3B" w14:textId="14980306" w:rsidR="00C76C68" w:rsidRPr="00C76C68" w:rsidRDefault="00C76C68">
      <w:pPr>
        <w:pStyle w:val="FootnoteText"/>
        <w:rPr>
          <w:i/>
          <w:iCs/>
        </w:rPr>
      </w:pPr>
      <w:r w:rsidRPr="00420E55">
        <w:rPr>
          <w:rStyle w:val="FootnoteReference"/>
          <w:rFonts w:ascii="Times New Roman" w:hAnsi="Times New Roman" w:cs="Times New Roman"/>
          <w:sz w:val="18"/>
          <w:szCs w:val="18"/>
        </w:rPr>
        <w:footnoteRef/>
      </w:r>
      <w:r w:rsidRPr="00420E55">
        <w:rPr>
          <w:rFonts w:ascii="Times New Roman" w:hAnsi="Times New Roman" w:cs="Times New Roman"/>
          <w:sz w:val="18"/>
          <w:szCs w:val="18"/>
        </w:rPr>
        <w:t xml:space="preserve"> </w:t>
      </w:r>
      <w:r w:rsidRPr="00420E55">
        <w:rPr>
          <w:rFonts w:ascii="Times New Roman" w:hAnsi="Times New Roman" w:cs="Times New Roman"/>
          <w:i/>
          <w:iCs/>
          <w:sz w:val="18"/>
          <w:szCs w:val="18"/>
        </w:rPr>
        <w:t>See, e.g.,</w:t>
      </w:r>
      <w:r w:rsidR="00420E55">
        <w:rPr>
          <w:rFonts w:ascii="Times New Roman" w:hAnsi="Times New Roman" w:cs="Times New Roman"/>
          <w:i/>
          <w:iCs/>
          <w:sz w:val="18"/>
          <w:szCs w:val="18"/>
        </w:rPr>
        <w:t xml:space="preserve"> </w:t>
      </w:r>
      <w:r w:rsidR="00F8024E">
        <w:rPr>
          <w:rFonts w:ascii="Times New Roman" w:hAnsi="Times New Roman" w:cs="Times New Roman"/>
          <w:sz w:val="18"/>
          <w:szCs w:val="18"/>
        </w:rPr>
        <w:t xml:space="preserve">Letter </w:t>
      </w:r>
      <w:r w:rsidR="00D72303">
        <w:rPr>
          <w:rFonts w:ascii="Times New Roman" w:hAnsi="Times New Roman" w:cs="Times New Roman"/>
          <w:sz w:val="18"/>
          <w:szCs w:val="18"/>
        </w:rPr>
        <w:t xml:space="preserve">from John </w:t>
      </w:r>
      <w:r w:rsidR="00D21856">
        <w:rPr>
          <w:rFonts w:ascii="Times New Roman" w:hAnsi="Times New Roman" w:cs="Times New Roman"/>
          <w:sz w:val="18"/>
          <w:szCs w:val="18"/>
        </w:rPr>
        <w:t xml:space="preserve">M. </w:t>
      </w:r>
      <w:r w:rsidR="00D72303">
        <w:rPr>
          <w:rFonts w:ascii="Times New Roman" w:hAnsi="Times New Roman" w:cs="Times New Roman"/>
          <w:sz w:val="18"/>
          <w:szCs w:val="18"/>
        </w:rPr>
        <w:t xml:space="preserve">Huff et al., </w:t>
      </w:r>
      <w:r w:rsidR="00F8024E">
        <w:rPr>
          <w:rFonts w:ascii="Times New Roman" w:hAnsi="Times New Roman" w:cs="Times New Roman"/>
          <w:sz w:val="18"/>
          <w:szCs w:val="18"/>
        </w:rPr>
        <w:t>National Association of Insurance Commissioners, to</w:t>
      </w:r>
      <w:r w:rsidR="00420E55">
        <w:rPr>
          <w:rFonts w:ascii="Times New Roman" w:hAnsi="Times New Roman" w:cs="Times New Roman"/>
          <w:sz w:val="18"/>
          <w:szCs w:val="18"/>
        </w:rPr>
        <w:t xml:space="preserve"> </w:t>
      </w:r>
      <w:r w:rsidR="00DE46CA">
        <w:rPr>
          <w:rFonts w:ascii="Times New Roman" w:hAnsi="Times New Roman" w:cs="Times New Roman"/>
          <w:sz w:val="18"/>
          <w:szCs w:val="18"/>
        </w:rPr>
        <w:t>Rep</w:t>
      </w:r>
      <w:r w:rsidR="00DE46CA" w:rsidRPr="00DE46CA">
        <w:rPr>
          <w:rFonts w:ascii="Times New Roman" w:hAnsi="Times New Roman" w:cs="Times New Roman"/>
          <w:sz w:val="18"/>
          <w:szCs w:val="18"/>
        </w:rPr>
        <w:t xml:space="preserve">. Lynn Westmoreland </w:t>
      </w:r>
      <w:r w:rsidR="00DE46CA">
        <w:rPr>
          <w:rFonts w:ascii="Times New Roman" w:hAnsi="Times New Roman" w:cs="Times New Roman"/>
          <w:sz w:val="18"/>
          <w:szCs w:val="18"/>
        </w:rPr>
        <w:t>and Rep</w:t>
      </w:r>
      <w:r w:rsidR="00DE46CA" w:rsidRPr="00DE46CA">
        <w:rPr>
          <w:rFonts w:ascii="Times New Roman" w:hAnsi="Times New Roman" w:cs="Times New Roman"/>
          <w:sz w:val="18"/>
          <w:szCs w:val="18"/>
        </w:rPr>
        <w:t xml:space="preserve">. David Scott </w:t>
      </w:r>
      <w:r w:rsidR="00D12B2C">
        <w:rPr>
          <w:rFonts w:ascii="Times New Roman" w:hAnsi="Times New Roman" w:cs="Times New Roman"/>
          <w:sz w:val="18"/>
          <w:szCs w:val="18"/>
        </w:rPr>
        <w:t xml:space="preserve">(Feb. 25, 2016), </w:t>
      </w:r>
      <w:r w:rsidR="001411E2" w:rsidRPr="001411E2">
        <w:rPr>
          <w:rFonts w:ascii="Times New Roman" w:hAnsi="Times New Roman" w:cs="Times New Roman"/>
          <w:sz w:val="18"/>
          <w:szCs w:val="18"/>
        </w:rPr>
        <w:t>https://content.naic.org/sites/default/files/naic_archive/government_relations_160225_letter_fsoc_des_rev_act.pdf</w:t>
      </w:r>
      <w:r w:rsidR="00C2668F">
        <w:rPr>
          <w:rFonts w:ascii="Times New Roman" w:hAnsi="Times New Roman" w:cs="Times New Roman"/>
          <w:sz w:val="18"/>
          <w:szCs w:val="18"/>
        </w:rPr>
        <w:t>;</w:t>
      </w:r>
      <w:r w:rsidR="001411E2" w:rsidRPr="001411E2">
        <w:rPr>
          <w:rFonts w:ascii="Times New Roman" w:hAnsi="Times New Roman" w:cs="Times New Roman"/>
          <w:sz w:val="18"/>
          <w:szCs w:val="18"/>
        </w:rPr>
        <w:t xml:space="preserve"> </w:t>
      </w:r>
      <w:r w:rsidR="001411E2">
        <w:rPr>
          <w:rFonts w:ascii="Times New Roman" w:hAnsi="Times New Roman" w:cs="Times New Roman"/>
          <w:sz w:val="18"/>
          <w:szCs w:val="18"/>
        </w:rPr>
        <w:t>Peter</w:t>
      </w:r>
      <w:r w:rsidR="0098622C">
        <w:rPr>
          <w:rFonts w:ascii="Times New Roman" w:hAnsi="Times New Roman" w:cs="Times New Roman"/>
          <w:sz w:val="18"/>
          <w:szCs w:val="18"/>
        </w:rPr>
        <w:t xml:space="preserve"> Wallison, </w:t>
      </w:r>
      <w:r w:rsidR="00420E55">
        <w:rPr>
          <w:rFonts w:ascii="Times New Roman" w:hAnsi="Times New Roman" w:cs="Times New Roman"/>
          <w:sz w:val="18"/>
          <w:szCs w:val="18"/>
        </w:rPr>
        <w:t>American Enterprise Institute</w:t>
      </w:r>
      <w:r w:rsidR="00B9782D">
        <w:rPr>
          <w:rFonts w:ascii="Times New Roman" w:hAnsi="Times New Roman" w:cs="Times New Roman"/>
          <w:sz w:val="18"/>
          <w:szCs w:val="18"/>
        </w:rPr>
        <w:t xml:space="preserve">, </w:t>
      </w:r>
      <w:r w:rsidR="00BE2DA1" w:rsidRPr="00A918B4">
        <w:rPr>
          <w:rFonts w:ascii="Times New Roman" w:hAnsi="Times New Roman" w:cs="Times New Roman"/>
          <w:i/>
          <w:iCs/>
          <w:sz w:val="18"/>
          <w:szCs w:val="18"/>
        </w:rPr>
        <w:t xml:space="preserve">Statement before the House Committee on Financial Services On “Examining the Dangers of the FSOC’s Designation Process and its Impact on the U.S. Financial System </w:t>
      </w:r>
      <w:r w:rsidR="00B9782D">
        <w:rPr>
          <w:rFonts w:ascii="Times New Roman" w:hAnsi="Times New Roman" w:cs="Times New Roman"/>
          <w:sz w:val="18"/>
          <w:szCs w:val="18"/>
        </w:rPr>
        <w:t>(</w:t>
      </w:r>
      <w:r w:rsidR="00736761">
        <w:rPr>
          <w:rFonts w:ascii="Times New Roman" w:hAnsi="Times New Roman" w:cs="Times New Roman"/>
          <w:sz w:val="18"/>
          <w:szCs w:val="18"/>
        </w:rPr>
        <w:t>May 20</w:t>
      </w:r>
      <w:r w:rsidR="00B9782D">
        <w:rPr>
          <w:rFonts w:ascii="Times New Roman" w:hAnsi="Times New Roman" w:cs="Times New Roman"/>
          <w:sz w:val="18"/>
          <w:szCs w:val="18"/>
        </w:rPr>
        <w:t>, 201</w:t>
      </w:r>
      <w:r w:rsidR="00736761">
        <w:rPr>
          <w:rFonts w:ascii="Times New Roman" w:hAnsi="Times New Roman" w:cs="Times New Roman"/>
          <w:sz w:val="18"/>
          <w:szCs w:val="18"/>
        </w:rPr>
        <w:t>4</w:t>
      </w:r>
      <w:r w:rsidR="00B9782D">
        <w:rPr>
          <w:rFonts w:ascii="Times New Roman" w:hAnsi="Times New Roman" w:cs="Times New Roman"/>
          <w:sz w:val="18"/>
          <w:szCs w:val="18"/>
        </w:rPr>
        <w:t xml:space="preserve">), </w:t>
      </w:r>
      <w:r w:rsidRPr="00420E55">
        <w:rPr>
          <w:rFonts w:ascii="Times New Roman" w:hAnsi="Times New Roman" w:cs="Times New Roman"/>
          <w:i/>
          <w:iCs/>
          <w:sz w:val="18"/>
          <w:szCs w:val="18"/>
        </w:rPr>
        <w:t xml:space="preserve"> </w:t>
      </w:r>
      <w:r w:rsidR="00344A77" w:rsidRPr="00344A77">
        <w:rPr>
          <w:rFonts w:ascii="Times New Roman" w:hAnsi="Times New Roman" w:cs="Times New Roman"/>
          <w:sz w:val="18"/>
          <w:szCs w:val="18"/>
        </w:rPr>
        <w:t>https://docs.house.gov/meetings/BA/BA00/20140520/102244/HHRG-113-BA00-Wstate-WallisonP-20140520.pdf</w:t>
      </w:r>
      <w:r w:rsidR="00683A9F">
        <w:rPr>
          <w:rFonts w:ascii="Times New Roman" w:hAnsi="Times New Roman" w:cs="Times New Roman"/>
          <w:sz w:val="18"/>
          <w:szCs w:val="18"/>
        </w:rPr>
        <w:t xml:space="preserve">; </w:t>
      </w:r>
      <w:r w:rsidR="00E7037D">
        <w:rPr>
          <w:rFonts w:ascii="Times New Roman" w:hAnsi="Times New Roman" w:cs="Times New Roman"/>
          <w:sz w:val="18"/>
          <w:szCs w:val="18"/>
        </w:rPr>
        <w:t xml:space="preserve">Speech by SEC Commissioner Daniel Gallagher at </w:t>
      </w:r>
      <w:r w:rsidR="00613D77" w:rsidRPr="00613D77">
        <w:rPr>
          <w:rFonts w:ascii="Times New Roman" w:hAnsi="Times New Roman" w:cs="Times New Roman"/>
          <w:sz w:val="18"/>
          <w:szCs w:val="18"/>
        </w:rPr>
        <w:t>the 2015 Virginia Law and Business Review Symposium</w:t>
      </w:r>
      <w:r w:rsidR="00F83CE8">
        <w:rPr>
          <w:rFonts w:ascii="Times New Roman" w:hAnsi="Times New Roman" w:cs="Times New Roman"/>
          <w:sz w:val="18"/>
          <w:szCs w:val="18"/>
        </w:rPr>
        <w:t xml:space="preserve"> (Apr. 10, 2015)</w:t>
      </w:r>
      <w:r w:rsidR="00613D77">
        <w:rPr>
          <w:rFonts w:ascii="Times New Roman" w:hAnsi="Times New Roman" w:cs="Times New Roman"/>
          <w:sz w:val="18"/>
          <w:szCs w:val="18"/>
        </w:rPr>
        <w:t xml:space="preserve">, </w:t>
      </w:r>
      <w:r w:rsidR="00F83CE8" w:rsidRPr="00F83CE8">
        <w:rPr>
          <w:rFonts w:ascii="Times New Roman" w:hAnsi="Times New Roman" w:cs="Times New Roman"/>
          <w:sz w:val="18"/>
          <w:szCs w:val="18"/>
        </w:rPr>
        <w:t>https://www.sec.gov/news/speech/041015-spch-cdmg</w:t>
      </w:r>
      <w:r w:rsidR="00B9782D">
        <w:rPr>
          <w:rStyle w:val="Hyperlink"/>
          <w:rFonts w:ascii="Times New Roman" w:hAnsi="Times New Roman" w:cs="Times New Roman"/>
          <w:sz w:val="18"/>
          <w:szCs w:val="18"/>
        </w:rPr>
        <w:t>.</w:t>
      </w:r>
      <w:r w:rsidR="006C652D" w:rsidRPr="00420E55">
        <w:rPr>
          <w:i/>
          <w:iCs/>
          <w:sz w:val="18"/>
          <w:szCs w:val="18"/>
        </w:rPr>
        <w:t xml:space="preserve"> </w:t>
      </w:r>
    </w:p>
  </w:footnote>
  <w:footnote w:id="33">
    <w:p w14:paraId="0AEFF872" w14:textId="4279A51F" w:rsidR="005954E6" w:rsidRPr="00DD767C" w:rsidRDefault="005954E6" w:rsidP="005954E6">
      <w:pPr>
        <w:pStyle w:val="FootnoteText"/>
        <w:rPr>
          <w:rFonts w:ascii="Times New Roman" w:hAnsi="Times New Roman" w:cs="Times New Roman"/>
          <w:sz w:val="18"/>
          <w:szCs w:val="18"/>
        </w:rPr>
      </w:pPr>
      <w:r w:rsidRPr="00DD767C">
        <w:rPr>
          <w:rStyle w:val="FootnoteReference"/>
          <w:rFonts w:ascii="Times New Roman" w:hAnsi="Times New Roman" w:cs="Times New Roman"/>
          <w:sz w:val="18"/>
          <w:szCs w:val="18"/>
        </w:rPr>
        <w:footnoteRef/>
      </w:r>
      <w:r w:rsidRPr="00DD767C">
        <w:rPr>
          <w:rFonts w:ascii="Times New Roman" w:hAnsi="Times New Roman" w:cs="Times New Roman"/>
          <w:sz w:val="18"/>
          <w:szCs w:val="18"/>
        </w:rPr>
        <w:t xml:space="preserve"> </w:t>
      </w:r>
      <w:r w:rsidR="007701D5">
        <w:rPr>
          <w:rFonts w:ascii="Times New Roman" w:hAnsi="Times New Roman" w:cs="Times New Roman"/>
          <w:i/>
          <w:iCs/>
          <w:sz w:val="18"/>
          <w:szCs w:val="18"/>
        </w:rPr>
        <w:t xml:space="preserve">See </w:t>
      </w:r>
      <w:r w:rsidR="00F776E0">
        <w:rPr>
          <w:rFonts w:ascii="Times New Roman" w:hAnsi="Times New Roman" w:cs="Times New Roman"/>
          <w:sz w:val="18"/>
          <w:szCs w:val="18"/>
        </w:rPr>
        <w:t xml:space="preserve">Hester Peirce, </w:t>
      </w:r>
      <w:r w:rsidR="00F776E0">
        <w:rPr>
          <w:rFonts w:ascii="Times New Roman" w:hAnsi="Times New Roman" w:cs="Times New Roman"/>
          <w:i/>
          <w:iCs/>
          <w:sz w:val="18"/>
          <w:szCs w:val="18"/>
        </w:rPr>
        <w:t>Insurance Regulation in the Dodd-Frank Era</w:t>
      </w:r>
      <w:r w:rsidR="00407A11">
        <w:rPr>
          <w:rFonts w:ascii="Times New Roman" w:hAnsi="Times New Roman" w:cs="Times New Roman"/>
          <w:i/>
          <w:iCs/>
          <w:sz w:val="18"/>
          <w:szCs w:val="18"/>
        </w:rPr>
        <w:t xml:space="preserve"> </w:t>
      </w:r>
      <w:r w:rsidR="00407A11" w:rsidRPr="00A918B4">
        <w:rPr>
          <w:rFonts w:ascii="Times New Roman" w:hAnsi="Times New Roman" w:cs="Times New Roman"/>
          <w:sz w:val="18"/>
          <w:szCs w:val="18"/>
        </w:rPr>
        <w:t>(</w:t>
      </w:r>
      <w:r w:rsidR="00A91E3F">
        <w:rPr>
          <w:rFonts w:ascii="Times New Roman" w:hAnsi="Times New Roman" w:cs="Times New Roman"/>
          <w:sz w:val="18"/>
          <w:szCs w:val="18"/>
        </w:rPr>
        <w:t xml:space="preserve">Policy Brief, Networks Financial Institute at Indiana State University, </w:t>
      </w:r>
      <w:r w:rsidR="00407A11" w:rsidRPr="00A918B4">
        <w:rPr>
          <w:rFonts w:ascii="Times New Roman" w:hAnsi="Times New Roman" w:cs="Times New Roman"/>
          <w:sz w:val="18"/>
          <w:szCs w:val="18"/>
        </w:rPr>
        <w:t>Mar. 2015)</w:t>
      </w:r>
      <w:r w:rsidR="00407A11">
        <w:rPr>
          <w:rFonts w:ascii="Times New Roman" w:hAnsi="Times New Roman" w:cs="Times New Roman"/>
          <w:i/>
          <w:iCs/>
          <w:sz w:val="18"/>
          <w:szCs w:val="18"/>
        </w:rPr>
        <w:t xml:space="preserve">, </w:t>
      </w:r>
      <w:r w:rsidRPr="00DD767C">
        <w:rPr>
          <w:rFonts w:ascii="Times New Roman" w:hAnsi="Times New Roman" w:cs="Times New Roman"/>
          <w:sz w:val="18"/>
          <w:szCs w:val="18"/>
        </w:rPr>
        <w:t>https://www.indstate.edu/business/sites/business.indstate.edu/files/Docs/2015-PB-02_Peirce.pdf</w:t>
      </w:r>
      <w:r w:rsidR="00CA6C35">
        <w:rPr>
          <w:rFonts w:ascii="Times New Roman" w:hAnsi="Times New Roman" w:cs="Times New Roman"/>
          <w:sz w:val="18"/>
          <w:szCs w:val="18"/>
        </w:rPr>
        <w:t>.</w:t>
      </w:r>
    </w:p>
  </w:footnote>
  <w:footnote w:id="34">
    <w:p w14:paraId="1FAC04F0" w14:textId="0A26121E" w:rsidR="009B284F" w:rsidRPr="00825B95" w:rsidRDefault="009B284F">
      <w:pPr>
        <w:pStyle w:val="FootnoteText"/>
        <w:rPr>
          <w:rFonts w:ascii="Times New Roman" w:hAnsi="Times New Roman" w:cs="Times New Roman"/>
        </w:rPr>
      </w:pPr>
      <w:r w:rsidRPr="00825B95">
        <w:rPr>
          <w:rStyle w:val="FootnoteReference"/>
          <w:rFonts w:ascii="Times New Roman" w:hAnsi="Times New Roman" w:cs="Times New Roman"/>
          <w:sz w:val="18"/>
          <w:szCs w:val="18"/>
        </w:rPr>
        <w:footnoteRef/>
      </w:r>
      <w:r w:rsidRPr="00825B95">
        <w:rPr>
          <w:rFonts w:ascii="Times New Roman" w:hAnsi="Times New Roman" w:cs="Times New Roman"/>
          <w:sz w:val="18"/>
          <w:szCs w:val="18"/>
        </w:rPr>
        <w:t xml:space="preserve"> </w:t>
      </w:r>
      <w:r w:rsidR="009A0BDC">
        <w:rPr>
          <w:rFonts w:ascii="Times New Roman" w:hAnsi="Times New Roman" w:cs="Times New Roman"/>
          <w:i/>
          <w:iCs/>
          <w:sz w:val="18"/>
          <w:szCs w:val="18"/>
        </w:rPr>
        <w:t xml:space="preserve">See </w:t>
      </w:r>
      <w:r w:rsidR="00616CD1">
        <w:rPr>
          <w:rFonts w:ascii="Times New Roman" w:hAnsi="Times New Roman" w:cs="Times New Roman"/>
          <w:sz w:val="18"/>
          <w:szCs w:val="18"/>
        </w:rPr>
        <w:t xml:space="preserve">Ted Mann &amp; Ryan Tracy, </w:t>
      </w:r>
      <w:r w:rsidR="00173230">
        <w:rPr>
          <w:rFonts w:ascii="Times New Roman" w:hAnsi="Times New Roman" w:cs="Times New Roman"/>
          <w:i/>
          <w:iCs/>
          <w:sz w:val="18"/>
          <w:szCs w:val="18"/>
        </w:rPr>
        <w:t>GE Capital Sheds ‘Systemically Important’ Label</w:t>
      </w:r>
      <w:r w:rsidR="00B2303E">
        <w:rPr>
          <w:rFonts w:ascii="Times New Roman" w:hAnsi="Times New Roman" w:cs="Times New Roman"/>
          <w:sz w:val="18"/>
          <w:szCs w:val="18"/>
        </w:rPr>
        <w:t>,</w:t>
      </w:r>
      <w:r w:rsidR="00825B95">
        <w:rPr>
          <w:rFonts w:ascii="Times New Roman" w:hAnsi="Times New Roman" w:cs="Times New Roman"/>
          <w:sz w:val="18"/>
          <w:szCs w:val="18"/>
        </w:rPr>
        <w:t xml:space="preserve"> </w:t>
      </w:r>
      <w:r w:rsidR="00616CD1" w:rsidRPr="00A91E3F">
        <w:rPr>
          <w:rFonts w:ascii="Times New Roman" w:hAnsi="Times New Roman" w:cs="Times New Roman"/>
          <w:sz w:val="18"/>
          <w:szCs w:val="18"/>
        </w:rPr>
        <w:t>Wall Street Journal</w:t>
      </w:r>
      <w:r w:rsidR="00B2303E">
        <w:rPr>
          <w:rFonts w:ascii="Times New Roman" w:hAnsi="Times New Roman" w:cs="Times New Roman"/>
          <w:i/>
          <w:iCs/>
          <w:sz w:val="18"/>
          <w:szCs w:val="18"/>
        </w:rPr>
        <w:t xml:space="preserve"> </w:t>
      </w:r>
      <w:r w:rsidR="00B2303E">
        <w:rPr>
          <w:rFonts w:ascii="Times New Roman" w:hAnsi="Times New Roman" w:cs="Times New Roman"/>
          <w:sz w:val="18"/>
          <w:szCs w:val="18"/>
        </w:rPr>
        <w:t>(Jun. 29, 2016),</w:t>
      </w:r>
      <w:r w:rsidR="00616CD1">
        <w:rPr>
          <w:rFonts w:ascii="Times New Roman" w:hAnsi="Times New Roman" w:cs="Times New Roman"/>
          <w:i/>
          <w:iCs/>
          <w:sz w:val="18"/>
          <w:szCs w:val="18"/>
        </w:rPr>
        <w:t xml:space="preserve"> </w:t>
      </w:r>
      <w:r w:rsidR="00825B95" w:rsidRPr="00825B95">
        <w:rPr>
          <w:rFonts w:ascii="Times New Roman" w:hAnsi="Times New Roman" w:cs="Times New Roman"/>
          <w:sz w:val="18"/>
          <w:szCs w:val="18"/>
        </w:rPr>
        <w:t>https://www.wsj.com/articles/ge-capital-sheds-systemically-important-label-for-too-big-to-fail-firms-1467205963</w:t>
      </w:r>
      <w:r w:rsidR="00825B95">
        <w:rPr>
          <w:rFonts w:ascii="Times New Roman" w:hAnsi="Times New Roman" w:cs="Times New Roman"/>
          <w:sz w:val="18"/>
          <w:szCs w:val="18"/>
        </w:rPr>
        <w:t>.</w:t>
      </w:r>
      <w:r w:rsidR="002933C6" w:rsidRPr="00825B95">
        <w:rPr>
          <w:rFonts w:ascii="Times New Roman" w:hAnsi="Times New Roman" w:cs="Times New Roman"/>
        </w:rPr>
        <w:t xml:space="preserve"> </w:t>
      </w:r>
    </w:p>
  </w:footnote>
  <w:footnote w:id="35">
    <w:p w14:paraId="2ADC4D9F" w14:textId="3FF4B622" w:rsidR="00993F94" w:rsidRPr="00AE7C2C" w:rsidRDefault="00993F94" w:rsidP="00976CD5">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976CD5">
        <w:rPr>
          <w:rFonts w:ascii="Times New Roman" w:hAnsi="Times New Roman" w:cs="Times New Roman"/>
          <w:sz w:val="18"/>
          <w:szCs w:val="18"/>
        </w:rPr>
        <w:t xml:space="preserve">FSOC, </w:t>
      </w:r>
      <w:r w:rsidR="00976CD5" w:rsidRPr="00976CD5">
        <w:rPr>
          <w:rFonts w:ascii="Times New Roman" w:hAnsi="Times New Roman" w:cs="Times New Roman"/>
          <w:sz w:val="18"/>
          <w:szCs w:val="18"/>
        </w:rPr>
        <w:t>Basis for the Financial Stability Oversight Council’s</w:t>
      </w:r>
      <w:r w:rsidR="00976CD5">
        <w:rPr>
          <w:rFonts w:ascii="Times New Roman" w:hAnsi="Times New Roman" w:cs="Times New Roman"/>
          <w:sz w:val="18"/>
          <w:szCs w:val="18"/>
        </w:rPr>
        <w:t xml:space="preserve"> </w:t>
      </w:r>
      <w:r w:rsidR="00976CD5" w:rsidRPr="00976CD5">
        <w:rPr>
          <w:rFonts w:ascii="Times New Roman" w:hAnsi="Times New Roman" w:cs="Times New Roman"/>
          <w:sz w:val="18"/>
          <w:szCs w:val="18"/>
        </w:rPr>
        <w:t>Rescission of Its Determination</w:t>
      </w:r>
      <w:r w:rsidR="00976CD5">
        <w:rPr>
          <w:rFonts w:ascii="Times New Roman" w:hAnsi="Times New Roman" w:cs="Times New Roman"/>
          <w:sz w:val="18"/>
          <w:szCs w:val="18"/>
        </w:rPr>
        <w:t xml:space="preserve"> </w:t>
      </w:r>
      <w:r w:rsidR="00976CD5" w:rsidRPr="00976CD5">
        <w:rPr>
          <w:rFonts w:ascii="Times New Roman" w:hAnsi="Times New Roman" w:cs="Times New Roman"/>
          <w:sz w:val="18"/>
          <w:szCs w:val="18"/>
        </w:rPr>
        <w:t>Regarding GE Capital Global Holdings, LLC</w:t>
      </w:r>
      <w:r w:rsidR="00976CD5">
        <w:rPr>
          <w:rFonts w:ascii="Times New Roman" w:hAnsi="Times New Roman" w:cs="Times New Roman"/>
          <w:sz w:val="18"/>
          <w:szCs w:val="18"/>
        </w:rPr>
        <w:t xml:space="preserve"> (Jun. 28, 2016), </w:t>
      </w:r>
      <w:r w:rsidR="00352D0D" w:rsidRPr="00352D0D">
        <w:rPr>
          <w:rFonts w:ascii="Times New Roman" w:hAnsi="Times New Roman" w:cs="Times New Roman"/>
          <w:sz w:val="18"/>
          <w:szCs w:val="18"/>
        </w:rPr>
        <w:t>https://home.treasury.gov/system/files/261/GE%20Captial%20Global%20Holdings%2C%20LLC%20%28Recission%29.pdf</w:t>
      </w:r>
      <w:r w:rsidR="00352D0D">
        <w:rPr>
          <w:rFonts w:ascii="Times New Roman" w:hAnsi="Times New Roman" w:cs="Times New Roman"/>
          <w:sz w:val="18"/>
          <w:szCs w:val="18"/>
        </w:rPr>
        <w:t xml:space="preserve">. </w:t>
      </w:r>
    </w:p>
  </w:footnote>
  <w:footnote w:id="36">
    <w:p w14:paraId="0C625045" w14:textId="72E22DA5" w:rsidR="00535E20" w:rsidRPr="00AE7C2C" w:rsidRDefault="00535E20">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00717948" w:rsidRPr="00AE7C2C">
        <w:rPr>
          <w:rFonts w:ascii="Times New Roman" w:hAnsi="Times New Roman" w:cs="Times New Roman"/>
          <w:sz w:val="18"/>
          <w:szCs w:val="18"/>
        </w:rPr>
        <w:t xml:space="preserve"> </w:t>
      </w:r>
      <w:r w:rsidR="00B92C7F">
        <w:rPr>
          <w:rFonts w:ascii="Times New Roman" w:hAnsi="Times New Roman" w:cs="Times New Roman"/>
          <w:sz w:val="18"/>
          <w:szCs w:val="18"/>
        </w:rPr>
        <w:t xml:space="preserve">FSOC, </w:t>
      </w:r>
      <w:r w:rsidR="00B92C7F" w:rsidRPr="00B92C7F">
        <w:rPr>
          <w:rFonts w:ascii="Times New Roman" w:hAnsi="Times New Roman" w:cs="Times New Roman"/>
          <w:sz w:val="18"/>
          <w:szCs w:val="18"/>
        </w:rPr>
        <w:t>Notice and Explanation of the Basis for the Financial Stability Oversight Council’s Rescission of Its Determination Regarding Prudential Financial, Inc. (Prudential)</w:t>
      </w:r>
      <w:r w:rsidR="00B92C7F">
        <w:rPr>
          <w:rFonts w:ascii="Times New Roman" w:hAnsi="Times New Roman" w:cs="Times New Roman"/>
          <w:sz w:val="18"/>
          <w:szCs w:val="18"/>
        </w:rPr>
        <w:t xml:space="preserve"> (Oct. 16, 2018), </w:t>
      </w:r>
      <w:r w:rsidR="00B92C7F" w:rsidRPr="00B92C7F">
        <w:rPr>
          <w:rFonts w:ascii="Times New Roman" w:hAnsi="Times New Roman" w:cs="Times New Roman"/>
          <w:sz w:val="18"/>
          <w:szCs w:val="18"/>
        </w:rPr>
        <w:t>https://home.treasury.gov/system/files/261/Prudential%20Financial%20Inc%20Rescission.pdf</w:t>
      </w:r>
      <w:r w:rsidR="00B92C7F">
        <w:rPr>
          <w:rFonts w:ascii="Times New Roman" w:hAnsi="Times New Roman" w:cs="Times New Roman"/>
          <w:sz w:val="18"/>
          <w:szCs w:val="18"/>
        </w:rPr>
        <w:t xml:space="preserve">; </w:t>
      </w:r>
      <w:r w:rsidR="00D2590B">
        <w:rPr>
          <w:rFonts w:ascii="Times New Roman" w:hAnsi="Times New Roman" w:cs="Times New Roman"/>
          <w:sz w:val="18"/>
          <w:szCs w:val="18"/>
        </w:rPr>
        <w:t xml:space="preserve">FSOC, </w:t>
      </w:r>
      <w:r w:rsidR="00D2590B" w:rsidRPr="00D2590B">
        <w:rPr>
          <w:rFonts w:ascii="Times New Roman" w:hAnsi="Times New Roman" w:cs="Times New Roman"/>
          <w:sz w:val="18"/>
          <w:szCs w:val="18"/>
        </w:rPr>
        <w:t>Notice and Explanation of the Basis for the Financial Stability Oversight Council’s Rescission of Its Determination Regarding American International Group, Inc. (AIG)</w:t>
      </w:r>
      <w:r w:rsidR="00D2590B">
        <w:rPr>
          <w:rFonts w:ascii="Times New Roman" w:hAnsi="Times New Roman" w:cs="Times New Roman"/>
          <w:sz w:val="18"/>
          <w:szCs w:val="18"/>
        </w:rPr>
        <w:t xml:space="preserve"> (</w:t>
      </w:r>
      <w:r w:rsidR="00EA2BA7">
        <w:rPr>
          <w:rFonts w:ascii="Times New Roman" w:hAnsi="Times New Roman" w:cs="Times New Roman"/>
          <w:sz w:val="18"/>
          <w:szCs w:val="18"/>
        </w:rPr>
        <w:t xml:space="preserve">Sep. 29, 2017), </w:t>
      </w:r>
      <w:r w:rsidR="00EA2BA7" w:rsidRPr="00EA2BA7">
        <w:rPr>
          <w:rFonts w:ascii="Times New Roman" w:hAnsi="Times New Roman" w:cs="Times New Roman"/>
          <w:sz w:val="18"/>
          <w:szCs w:val="18"/>
        </w:rPr>
        <w:t>https://home.treasury.gov/policy-issues/financial-markets-financial-institutions-and-fiscal-service/fsoc/designations</w:t>
      </w:r>
      <w:r w:rsidR="00EA2BA7">
        <w:rPr>
          <w:rFonts w:ascii="Times New Roman" w:hAnsi="Times New Roman" w:cs="Times New Roman"/>
          <w:sz w:val="18"/>
          <w:szCs w:val="18"/>
        </w:rPr>
        <w:t>.</w:t>
      </w:r>
    </w:p>
  </w:footnote>
  <w:footnote w:id="37">
    <w:p w14:paraId="12C5ABF7" w14:textId="27C88773" w:rsidR="00762F18" w:rsidRPr="00B533DD" w:rsidRDefault="00762F18" w:rsidP="00762F18">
      <w:pPr>
        <w:pStyle w:val="FootnoteText"/>
        <w:rPr>
          <w:rFonts w:ascii="Times New Roman" w:hAnsi="Times New Roman" w:cs="Times New Roman"/>
          <w:sz w:val="18"/>
          <w:szCs w:val="18"/>
        </w:rPr>
      </w:pPr>
      <w:r w:rsidRPr="00B533DD">
        <w:rPr>
          <w:rStyle w:val="FootnoteReference"/>
          <w:rFonts w:ascii="Times New Roman" w:hAnsi="Times New Roman" w:cs="Times New Roman"/>
          <w:sz w:val="18"/>
          <w:szCs w:val="18"/>
        </w:rPr>
        <w:footnoteRef/>
      </w:r>
      <w:r w:rsidR="0090783D" w:rsidRPr="00B533DD">
        <w:rPr>
          <w:rFonts w:ascii="Times New Roman" w:hAnsi="Times New Roman" w:cs="Times New Roman"/>
          <w:sz w:val="18"/>
          <w:szCs w:val="18"/>
        </w:rPr>
        <w:t xml:space="preserve"> </w:t>
      </w:r>
      <w:r w:rsidR="00160776">
        <w:rPr>
          <w:rFonts w:ascii="Times New Roman" w:hAnsi="Times New Roman" w:cs="Times New Roman"/>
          <w:i/>
          <w:iCs/>
          <w:sz w:val="18"/>
          <w:szCs w:val="18"/>
        </w:rPr>
        <w:t xml:space="preserve">See </w:t>
      </w:r>
      <w:r w:rsidR="0090783D" w:rsidRPr="00B533DD">
        <w:rPr>
          <w:rFonts w:ascii="Times New Roman" w:hAnsi="Times New Roman" w:cs="Times New Roman"/>
          <w:sz w:val="18"/>
          <w:szCs w:val="18"/>
        </w:rPr>
        <w:t xml:space="preserve">Alistair Gray, </w:t>
      </w:r>
      <w:r w:rsidR="0090783D" w:rsidRPr="00B533DD">
        <w:rPr>
          <w:rFonts w:ascii="Times New Roman" w:hAnsi="Times New Roman" w:cs="Times New Roman"/>
          <w:i/>
          <w:iCs/>
          <w:sz w:val="18"/>
          <w:szCs w:val="18"/>
        </w:rPr>
        <w:t xml:space="preserve">AIG sheds $150m in costs along with </w:t>
      </w:r>
      <w:proofErr w:type="spellStart"/>
      <w:r w:rsidR="0090783D" w:rsidRPr="00B533DD">
        <w:rPr>
          <w:rFonts w:ascii="Times New Roman" w:hAnsi="Times New Roman" w:cs="Times New Roman"/>
          <w:i/>
          <w:iCs/>
          <w:sz w:val="18"/>
          <w:szCs w:val="18"/>
        </w:rPr>
        <w:t>Sifi</w:t>
      </w:r>
      <w:proofErr w:type="spellEnd"/>
      <w:r w:rsidR="0090783D" w:rsidRPr="00B533DD">
        <w:rPr>
          <w:rFonts w:ascii="Times New Roman" w:hAnsi="Times New Roman" w:cs="Times New Roman"/>
          <w:i/>
          <w:iCs/>
          <w:sz w:val="18"/>
          <w:szCs w:val="18"/>
        </w:rPr>
        <w:t xml:space="preserve"> label</w:t>
      </w:r>
      <w:r w:rsidR="0090783D" w:rsidRPr="00B533DD">
        <w:rPr>
          <w:rFonts w:ascii="Times New Roman" w:hAnsi="Times New Roman" w:cs="Times New Roman"/>
          <w:sz w:val="18"/>
          <w:szCs w:val="18"/>
        </w:rPr>
        <w:t xml:space="preserve">, </w:t>
      </w:r>
      <w:r w:rsidR="0090783D" w:rsidRPr="001134E5">
        <w:rPr>
          <w:rFonts w:ascii="Times New Roman" w:hAnsi="Times New Roman" w:cs="Times New Roman"/>
          <w:sz w:val="18"/>
          <w:szCs w:val="18"/>
        </w:rPr>
        <w:t>Financial Times</w:t>
      </w:r>
      <w:r w:rsidR="0090783D" w:rsidRPr="00B533DD">
        <w:rPr>
          <w:rFonts w:ascii="Times New Roman" w:hAnsi="Times New Roman" w:cs="Times New Roman"/>
          <w:sz w:val="18"/>
          <w:szCs w:val="18"/>
        </w:rPr>
        <w:t xml:space="preserve"> (Oct. 1, 2017),</w:t>
      </w:r>
      <w:r w:rsidRPr="00B533DD">
        <w:rPr>
          <w:rFonts w:ascii="Times New Roman" w:hAnsi="Times New Roman" w:cs="Times New Roman"/>
          <w:sz w:val="18"/>
          <w:szCs w:val="18"/>
        </w:rPr>
        <w:t xml:space="preserve"> </w:t>
      </w:r>
      <w:r w:rsidR="0090783D" w:rsidRPr="00B533DD">
        <w:rPr>
          <w:rFonts w:ascii="Times New Roman" w:hAnsi="Times New Roman" w:cs="Times New Roman"/>
          <w:sz w:val="18"/>
          <w:szCs w:val="18"/>
        </w:rPr>
        <w:t>https://www.ft.com/content/31b36b9a-a662-11e7-93c5-648314d2c72c</w:t>
      </w:r>
      <w:r w:rsidR="00160776">
        <w:rPr>
          <w:rFonts w:ascii="Times New Roman" w:hAnsi="Times New Roman" w:cs="Times New Roman"/>
          <w:sz w:val="18"/>
          <w:szCs w:val="18"/>
        </w:rPr>
        <w:t>.</w:t>
      </w:r>
      <w:r w:rsidR="0043732A" w:rsidRPr="00B533DD">
        <w:rPr>
          <w:rFonts w:ascii="Times New Roman" w:hAnsi="Times New Roman" w:cs="Times New Roman"/>
          <w:sz w:val="18"/>
          <w:szCs w:val="18"/>
        </w:rPr>
        <w:t xml:space="preserve"> </w:t>
      </w:r>
    </w:p>
  </w:footnote>
  <w:footnote w:id="38">
    <w:p w14:paraId="472C1C9A" w14:textId="2D8F35AC" w:rsidR="00802F40" w:rsidRPr="00AE7C2C" w:rsidRDefault="00802F40" w:rsidP="00802F40">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MetLife, Inc. v. Financial Stability Oversight Council, 177 F. Supp. 3d 219 (D.D.C. 2016), available at https://casetext.com/case/metlife-inc-v-fin-stability-oversight-council-3</w:t>
      </w:r>
      <w:r w:rsidR="006832B7">
        <w:rPr>
          <w:rFonts w:ascii="Times New Roman" w:hAnsi="Times New Roman" w:cs="Times New Roman"/>
          <w:sz w:val="18"/>
          <w:szCs w:val="18"/>
        </w:rPr>
        <w:t>.</w:t>
      </w:r>
    </w:p>
  </w:footnote>
  <w:footnote w:id="39">
    <w:p w14:paraId="79AB7552" w14:textId="15609021" w:rsidR="00303B6E" w:rsidRPr="00154F17" w:rsidRDefault="00303B6E">
      <w:pPr>
        <w:pStyle w:val="FootnoteText"/>
        <w:rPr>
          <w:rFonts w:ascii="Times New Roman" w:hAnsi="Times New Roman" w:cs="Times New Roman"/>
          <w:sz w:val="18"/>
          <w:szCs w:val="18"/>
          <w:lang w:val="fr-FR"/>
        </w:rPr>
      </w:pPr>
      <w:r w:rsidRPr="00AE7C2C">
        <w:rPr>
          <w:rStyle w:val="FootnoteReference"/>
          <w:rFonts w:ascii="Times New Roman" w:hAnsi="Times New Roman" w:cs="Times New Roman"/>
          <w:sz w:val="18"/>
          <w:szCs w:val="18"/>
        </w:rPr>
        <w:footnoteRef/>
      </w:r>
      <w:r w:rsidR="00684F96">
        <w:rPr>
          <w:rFonts w:ascii="Times New Roman" w:hAnsi="Times New Roman" w:cs="Times New Roman"/>
          <w:sz w:val="18"/>
          <w:szCs w:val="18"/>
        </w:rPr>
        <w:t xml:space="preserve"> </w:t>
      </w:r>
      <w:r w:rsidR="0017555B">
        <w:rPr>
          <w:rFonts w:ascii="Times New Roman" w:hAnsi="Times New Roman" w:cs="Times New Roman"/>
          <w:i/>
          <w:iCs/>
          <w:sz w:val="18"/>
          <w:szCs w:val="18"/>
        </w:rPr>
        <w:t xml:space="preserve">See </w:t>
      </w:r>
      <w:r w:rsidR="003D434B" w:rsidRPr="00AE7C2C">
        <w:rPr>
          <w:rFonts w:ascii="Times New Roman" w:hAnsi="Times New Roman" w:cs="Times New Roman"/>
          <w:sz w:val="18"/>
          <w:szCs w:val="18"/>
        </w:rPr>
        <w:t>Pete Schroeder</w:t>
      </w:r>
      <w:r w:rsidR="00863109">
        <w:rPr>
          <w:rFonts w:ascii="Times New Roman" w:hAnsi="Times New Roman" w:cs="Times New Roman"/>
          <w:sz w:val="18"/>
          <w:szCs w:val="18"/>
        </w:rPr>
        <w:t>,</w:t>
      </w:r>
      <w:r w:rsidR="003D434B" w:rsidRPr="00AE7C2C">
        <w:rPr>
          <w:rFonts w:ascii="Times New Roman" w:hAnsi="Times New Roman" w:cs="Times New Roman"/>
          <w:sz w:val="18"/>
          <w:szCs w:val="18"/>
        </w:rPr>
        <w:t xml:space="preserve"> </w:t>
      </w:r>
      <w:r w:rsidR="003D434B" w:rsidRPr="00AE7C2C">
        <w:rPr>
          <w:rFonts w:ascii="Times New Roman" w:hAnsi="Times New Roman" w:cs="Times New Roman"/>
          <w:i/>
          <w:iCs/>
          <w:sz w:val="18"/>
          <w:szCs w:val="18"/>
        </w:rPr>
        <w:t>MetLife, U.S. Regulators Agree to Set Aside Legal Fight</w:t>
      </w:r>
      <w:r w:rsidR="001134E5">
        <w:rPr>
          <w:rFonts w:ascii="Times New Roman" w:hAnsi="Times New Roman" w:cs="Times New Roman"/>
          <w:sz w:val="18"/>
          <w:szCs w:val="18"/>
        </w:rPr>
        <w:t>,</w:t>
      </w:r>
      <w:r w:rsidR="003D434B" w:rsidRPr="00AE7C2C">
        <w:rPr>
          <w:rFonts w:ascii="Times New Roman" w:hAnsi="Times New Roman" w:cs="Times New Roman"/>
          <w:sz w:val="18"/>
          <w:szCs w:val="18"/>
        </w:rPr>
        <w:t xml:space="preserve"> </w:t>
      </w:r>
      <w:r w:rsidR="00FA7ABC" w:rsidRPr="001134E5">
        <w:rPr>
          <w:rFonts w:ascii="Times New Roman" w:hAnsi="Times New Roman" w:cs="Times New Roman"/>
          <w:sz w:val="18"/>
          <w:szCs w:val="18"/>
          <w:lang w:val="fr-FR"/>
        </w:rPr>
        <w:t>Reuters</w:t>
      </w:r>
      <w:r w:rsidR="001134E5">
        <w:rPr>
          <w:rFonts w:ascii="Times New Roman" w:hAnsi="Times New Roman" w:cs="Times New Roman"/>
          <w:sz w:val="18"/>
          <w:szCs w:val="18"/>
          <w:lang w:val="fr-FR"/>
        </w:rPr>
        <w:t xml:space="preserve"> </w:t>
      </w:r>
      <w:r w:rsidR="001134E5" w:rsidRPr="00AE7C2C">
        <w:rPr>
          <w:rFonts w:ascii="Times New Roman" w:hAnsi="Times New Roman" w:cs="Times New Roman"/>
          <w:sz w:val="18"/>
          <w:szCs w:val="18"/>
        </w:rPr>
        <w:t>(Jan</w:t>
      </w:r>
      <w:r w:rsidR="001134E5">
        <w:rPr>
          <w:rFonts w:ascii="Times New Roman" w:hAnsi="Times New Roman" w:cs="Times New Roman"/>
          <w:sz w:val="18"/>
          <w:szCs w:val="18"/>
        </w:rPr>
        <w:t>.</w:t>
      </w:r>
      <w:r w:rsidR="001134E5" w:rsidRPr="00AE7C2C">
        <w:rPr>
          <w:rFonts w:ascii="Times New Roman" w:hAnsi="Times New Roman" w:cs="Times New Roman"/>
          <w:sz w:val="18"/>
          <w:szCs w:val="18"/>
        </w:rPr>
        <w:t xml:space="preserve"> </w:t>
      </w:r>
      <w:r w:rsidR="001134E5" w:rsidRPr="00154F17">
        <w:rPr>
          <w:rFonts w:ascii="Times New Roman" w:hAnsi="Times New Roman" w:cs="Times New Roman"/>
          <w:sz w:val="18"/>
          <w:szCs w:val="18"/>
          <w:lang w:val="fr-FR"/>
        </w:rPr>
        <w:t>18, 2018)</w:t>
      </w:r>
      <w:r w:rsidR="00FA7ABC" w:rsidRPr="001134E5">
        <w:rPr>
          <w:rFonts w:ascii="Times New Roman" w:hAnsi="Times New Roman" w:cs="Times New Roman"/>
          <w:sz w:val="18"/>
          <w:szCs w:val="18"/>
          <w:lang w:val="fr-FR"/>
        </w:rPr>
        <w:t>,</w:t>
      </w:r>
      <w:r w:rsidR="00A910C1" w:rsidRPr="00154F17">
        <w:rPr>
          <w:rFonts w:ascii="Times New Roman" w:hAnsi="Times New Roman" w:cs="Times New Roman"/>
          <w:sz w:val="18"/>
          <w:szCs w:val="18"/>
          <w:lang w:val="fr-FR"/>
        </w:rPr>
        <w:t xml:space="preserve"> </w:t>
      </w:r>
      <w:r w:rsidR="00863109" w:rsidRPr="00154F17">
        <w:rPr>
          <w:rFonts w:ascii="Times New Roman" w:hAnsi="Times New Roman" w:cs="Times New Roman"/>
          <w:sz w:val="18"/>
          <w:szCs w:val="18"/>
          <w:lang w:val="fr-FR"/>
        </w:rPr>
        <w:t xml:space="preserve">https://www.reuters.com/article/us-usa-metlife-fsoc-idUKKBN1F8064. </w:t>
      </w:r>
      <w:r w:rsidR="00500E84" w:rsidRPr="00154F17">
        <w:rPr>
          <w:rFonts w:ascii="Times New Roman" w:hAnsi="Times New Roman" w:cs="Times New Roman"/>
          <w:sz w:val="18"/>
          <w:szCs w:val="18"/>
          <w:lang w:val="fr-FR"/>
        </w:rPr>
        <w:t xml:space="preserve"> </w:t>
      </w:r>
    </w:p>
  </w:footnote>
  <w:footnote w:id="40">
    <w:p w14:paraId="2DF2876E" w14:textId="175AE353" w:rsidR="004F0BD9" w:rsidRPr="00A918B4" w:rsidRDefault="004F0BD9">
      <w:pPr>
        <w:pStyle w:val="FootnoteText"/>
        <w:rPr>
          <w:rFonts w:ascii="Times New Roman" w:hAnsi="Times New Roman" w:cs="Times New Roman"/>
          <w:sz w:val="18"/>
          <w:szCs w:val="18"/>
        </w:rPr>
      </w:pPr>
      <w:r w:rsidRPr="00415ED5">
        <w:rPr>
          <w:rStyle w:val="FootnoteReference"/>
          <w:rFonts w:ascii="Times New Roman" w:hAnsi="Times New Roman" w:cs="Times New Roman"/>
          <w:sz w:val="18"/>
          <w:szCs w:val="18"/>
        </w:rPr>
        <w:footnoteRef/>
      </w:r>
      <w:r w:rsidRPr="00415ED5">
        <w:rPr>
          <w:rFonts w:ascii="Times New Roman" w:hAnsi="Times New Roman" w:cs="Times New Roman"/>
          <w:sz w:val="18"/>
          <w:szCs w:val="18"/>
        </w:rPr>
        <w:t xml:space="preserve"> </w:t>
      </w:r>
      <w:r w:rsidR="00EF39CC">
        <w:rPr>
          <w:rFonts w:ascii="Times New Roman" w:hAnsi="Times New Roman" w:cs="Times New Roman"/>
          <w:sz w:val="18"/>
          <w:szCs w:val="18"/>
        </w:rPr>
        <w:t>FSOC, Authority to Require Supervision and Regulation of Certain Nonbank Financial Companies</w:t>
      </w:r>
      <w:r w:rsidR="004005AA">
        <w:rPr>
          <w:rFonts w:ascii="Times New Roman" w:hAnsi="Times New Roman" w:cs="Times New Roman"/>
          <w:sz w:val="18"/>
          <w:szCs w:val="18"/>
        </w:rPr>
        <w:t xml:space="preserve">, </w:t>
      </w:r>
      <w:r w:rsidR="004A7A0C">
        <w:rPr>
          <w:rFonts w:ascii="Times New Roman" w:hAnsi="Times New Roman" w:cs="Times New Roman"/>
          <w:sz w:val="18"/>
          <w:szCs w:val="18"/>
        </w:rPr>
        <w:t>84</w:t>
      </w:r>
      <w:r w:rsidR="00FC1352">
        <w:rPr>
          <w:rFonts w:ascii="Times New Roman" w:hAnsi="Times New Roman" w:cs="Times New Roman"/>
          <w:sz w:val="18"/>
          <w:szCs w:val="18"/>
        </w:rPr>
        <w:t xml:space="preserve"> F.R. </w:t>
      </w:r>
      <w:r w:rsidR="00F960F0">
        <w:rPr>
          <w:rFonts w:ascii="Times New Roman" w:hAnsi="Times New Roman" w:cs="Times New Roman"/>
          <w:sz w:val="18"/>
          <w:szCs w:val="18"/>
        </w:rPr>
        <w:t>71740, (Dec. 30, 2019)</w:t>
      </w:r>
      <w:r w:rsidR="00542410">
        <w:rPr>
          <w:rFonts w:ascii="Times New Roman" w:hAnsi="Times New Roman" w:cs="Times New Roman"/>
          <w:sz w:val="18"/>
          <w:szCs w:val="18"/>
        </w:rPr>
        <w:t xml:space="preserve">, </w:t>
      </w:r>
      <w:r w:rsidR="00B80CF6" w:rsidRPr="00B80CF6">
        <w:rPr>
          <w:rFonts w:ascii="Times New Roman" w:hAnsi="Times New Roman" w:cs="Times New Roman"/>
          <w:sz w:val="18"/>
          <w:szCs w:val="18"/>
        </w:rPr>
        <w:t>https://www.govinfo.gov/content/pkg/FR-2019-12-30/pdf/2019-27108.pdf</w:t>
      </w:r>
      <w:r w:rsidR="00BF59C4">
        <w:rPr>
          <w:rFonts w:ascii="Times New Roman" w:hAnsi="Times New Roman" w:cs="Times New Roman"/>
          <w:sz w:val="18"/>
          <w:szCs w:val="18"/>
        </w:rPr>
        <w:t xml:space="preserve"> (</w:t>
      </w:r>
      <w:r w:rsidR="00BF59C4">
        <w:rPr>
          <w:rFonts w:ascii="Times New Roman" w:hAnsi="Times New Roman" w:cs="Times New Roman"/>
          <w:i/>
          <w:iCs/>
          <w:sz w:val="18"/>
          <w:szCs w:val="18"/>
        </w:rPr>
        <w:t xml:space="preserve">hereinafter </w:t>
      </w:r>
      <w:r w:rsidR="00F41079" w:rsidRPr="00B533DD">
        <w:rPr>
          <w:rFonts w:ascii="Times New Roman" w:hAnsi="Times New Roman" w:cs="Times New Roman"/>
          <w:sz w:val="18"/>
          <w:szCs w:val="18"/>
        </w:rPr>
        <w:t>“</w:t>
      </w:r>
      <w:r w:rsidR="0080276C">
        <w:rPr>
          <w:rFonts w:ascii="Times New Roman" w:hAnsi="Times New Roman" w:cs="Times New Roman"/>
          <w:sz w:val="18"/>
          <w:szCs w:val="18"/>
        </w:rPr>
        <w:t>20</w:t>
      </w:r>
      <w:r w:rsidR="00F41079">
        <w:rPr>
          <w:rFonts w:ascii="Times New Roman" w:hAnsi="Times New Roman" w:cs="Times New Roman"/>
          <w:sz w:val="18"/>
          <w:szCs w:val="18"/>
        </w:rPr>
        <w:t>1</w:t>
      </w:r>
      <w:r w:rsidR="0080276C">
        <w:rPr>
          <w:rFonts w:ascii="Times New Roman" w:hAnsi="Times New Roman" w:cs="Times New Roman"/>
          <w:sz w:val="18"/>
          <w:szCs w:val="18"/>
        </w:rPr>
        <w:t>9 Non-bank Guidance</w:t>
      </w:r>
      <w:r w:rsidR="00F41079">
        <w:rPr>
          <w:rFonts w:ascii="Times New Roman" w:hAnsi="Times New Roman" w:cs="Times New Roman"/>
          <w:sz w:val="18"/>
          <w:szCs w:val="18"/>
        </w:rPr>
        <w:t>”</w:t>
      </w:r>
      <w:r w:rsidR="0080276C">
        <w:rPr>
          <w:rFonts w:ascii="Times New Roman" w:hAnsi="Times New Roman" w:cs="Times New Roman"/>
          <w:sz w:val="18"/>
          <w:szCs w:val="18"/>
        </w:rPr>
        <w:t>).</w:t>
      </w:r>
      <w:r w:rsidR="00542410" w:rsidRPr="00542410">
        <w:rPr>
          <w:rFonts w:ascii="Times New Roman" w:hAnsi="Times New Roman" w:cs="Times New Roman"/>
          <w:sz w:val="18"/>
          <w:szCs w:val="18"/>
        </w:rPr>
        <w:t xml:space="preserve"> </w:t>
      </w:r>
    </w:p>
  </w:footnote>
  <w:footnote w:id="41">
    <w:p w14:paraId="25773AB1" w14:textId="51D33D5E" w:rsidR="00B30C86" w:rsidRPr="00A96497" w:rsidRDefault="00B30C86">
      <w:pPr>
        <w:pStyle w:val="FootnoteText"/>
        <w:rPr>
          <w:rFonts w:ascii="Times New Roman" w:hAnsi="Times New Roman" w:cs="Times New Roman"/>
          <w:sz w:val="18"/>
          <w:szCs w:val="18"/>
          <w:highlight w:val="yellow"/>
        </w:rPr>
      </w:pPr>
      <w:r w:rsidRPr="00415ED5">
        <w:rPr>
          <w:rStyle w:val="FootnoteReference"/>
          <w:rFonts w:ascii="Times New Roman" w:hAnsi="Times New Roman" w:cs="Times New Roman"/>
          <w:sz w:val="18"/>
          <w:szCs w:val="18"/>
        </w:rPr>
        <w:footnoteRef/>
      </w:r>
      <w:r w:rsidRPr="00415ED5">
        <w:rPr>
          <w:rFonts w:ascii="Times New Roman" w:hAnsi="Times New Roman" w:cs="Times New Roman"/>
          <w:sz w:val="18"/>
          <w:szCs w:val="18"/>
        </w:rPr>
        <w:t xml:space="preserve"> </w:t>
      </w:r>
      <w:r w:rsidR="00EF0D61">
        <w:rPr>
          <w:rFonts w:ascii="Times New Roman" w:hAnsi="Times New Roman" w:cs="Times New Roman"/>
          <w:i/>
          <w:iCs/>
          <w:sz w:val="18"/>
          <w:szCs w:val="18"/>
        </w:rPr>
        <w:t>See id.</w:t>
      </w:r>
      <w:r w:rsidR="00EF0D61">
        <w:rPr>
          <w:rFonts w:ascii="Times New Roman" w:hAnsi="Times New Roman" w:cs="Times New Roman"/>
          <w:sz w:val="18"/>
          <w:szCs w:val="18"/>
        </w:rPr>
        <w:t>;</w:t>
      </w:r>
      <w:r w:rsidR="00EF0D61">
        <w:rPr>
          <w:rFonts w:ascii="Times New Roman" w:hAnsi="Times New Roman" w:cs="Times New Roman"/>
          <w:i/>
          <w:iCs/>
          <w:sz w:val="18"/>
          <w:szCs w:val="18"/>
        </w:rPr>
        <w:t xml:space="preserve"> </w:t>
      </w:r>
      <w:r w:rsidR="00685CE6" w:rsidRPr="00415ED5">
        <w:rPr>
          <w:rFonts w:ascii="Times New Roman" w:hAnsi="Times New Roman" w:cs="Times New Roman"/>
          <w:sz w:val="18"/>
          <w:szCs w:val="18"/>
        </w:rPr>
        <w:t xml:space="preserve">Proposed Analytic Framework, </w:t>
      </w:r>
      <w:r w:rsidR="00685CE6" w:rsidRPr="00415ED5">
        <w:rPr>
          <w:rFonts w:ascii="Times New Roman" w:hAnsi="Times New Roman" w:cs="Times New Roman"/>
          <w:i/>
          <w:iCs/>
          <w:sz w:val="18"/>
          <w:szCs w:val="18"/>
        </w:rPr>
        <w:t xml:space="preserve">supra </w:t>
      </w:r>
      <w:r w:rsidR="00685CE6" w:rsidRPr="00415ED5">
        <w:rPr>
          <w:rFonts w:ascii="Times New Roman" w:hAnsi="Times New Roman" w:cs="Times New Roman"/>
          <w:sz w:val="18"/>
          <w:szCs w:val="18"/>
        </w:rPr>
        <w:t xml:space="preserve">note </w:t>
      </w:r>
      <w:r w:rsidR="00A96497">
        <w:rPr>
          <w:rFonts w:ascii="Times New Roman" w:hAnsi="Times New Roman" w:cs="Times New Roman"/>
          <w:sz w:val="18"/>
          <w:szCs w:val="18"/>
        </w:rPr>
        <w:t xml:space="preserve">2; Proposed Nonbank Guidance, </w:t>
      </w:r>
      <w:r w:rsidR="00A96497">
        <w:rPr>
          <w:rFonts w:ascii="Times New Roman" w:hAnsi="Times New Roman" w:cs="Times New Roman"/>
          <w:i/>
          <w:iCs/>
          <w:sz w:val="18"/>
          <w:szCs w:val="18"/>
        </w:rPr>
        <w:t xml:space="preserve">supra </w:t>
      </w:r>
      <w:r w:rsidR="00A96497">
        <w:rPr>
          <w:rFonts w:ascii="Times New Roman" w:hAnsi="Times New Roman" w:cs="Times New Roman"/>
          <w:sz w:val="18"/>
          <w:szCs w:val="18"/>
        </w:rPr>
        <w:t xml:space="preserve">note 3. </w:t>
      </w:r>
    </w:p>
  </w:footnote>
  <w:footnote w:id="42">
    <w:p w14:paraId="442A618F" w14:textId="14CFAF29" w:rsidR="00B30C86" w:rsidRPr="00415ED5" w:rsidRDefault="00B30C86">
      <w:pPr>
        <w:pStyle w:val="FootnoteText"/>
        <w:rPr>
          <w:rFonts w:ascii="Times New Roman" w:hAnsi="Times New Roman" w:cs="Times New Roman"/>
          <w:i/>
          <w:iCs/>
        </w:rPr>
      </w:pPr>
      <w:r w:rsidRPr="00415ED5">
        <w:rPr>
          <w:rStyle w:val="FootnoteReference"/>
          <w:rFonts w:ascii="Times New Roman" w:hAnsi="Times New Roman" w:cs="Times New Roman"/>
          <w:sz w:val="18"/>
          <w:szCs w:val="18"/>
        </w:rPr>
        <w:footnoteRef/>
      </w:r>
      <w:r w:rsidRPr="00415ED5">
        <w:rPr>
          <w:rFonts w:ascii="Times New Roman" w:hAnsi="Times New Roman" w:cs="Times New Roman"/>
          <w:sz w:val="18"/>
          <w:szCs w:val="18"/>
        </w:rPr>
        <w:t xml:space="preserve"> </w:t>
      </w:r>
      <w:r w:rsidR="00EF0D61">
        <w:rPr>
          <w:rFonts w:ascii="Times New Roman" w:hAnsi="Times New Roman" w:cs="Times New Roman"/>
          <w:i/>
          <w:iCs/>
          <w:sz w:val="18"/>
          <w:szCs w:val="18"/>
        </w:rPr>
        <w:t>See i</w:t>
      </w:r>
      <w:r w:rsidR="00F02B0D" w:rsidRPr="00415ED5">
        <w:rPr>
          <w:rFonts w:ascii="Times New Roman" w:hAnsi="Times New Roman" w:cs="Times New Roman"/>
          <w:i/>
          <w:iCs/>
          <w:sz w:val="18"/>
          <w:szCs w:val="18"/>
        </w:rPr>
        <w:t>d.</w:t>
      </w:r>
      <w:r w:rsidR="00191EAF">
        <w:rPr>
          <w:rFonts w:ascii="Times New Roman" w:hAnsi="Times New Roman" w:cs="Times New Roman"/>
          <w:sz w:val="18"/>
          <w:szCs w:val="18"/>
        </w:rPr>
        <w:t xml:space="preserve">; </w:t>
      </w:r>
      <w:r w:rsidR="00191EAF" w:rsidRPr="00415ED5">
        <w:rPr>
          <w:rFonts w:ascii="Times New Roman" w:hAnsi="Times New Roman" w:cs="Times New Roman"/>
          <w:sz w:val="18"/>
          <w:szCs w:val="18"/>
        </w:rPr>
        <w:t xml:space="preserve">Proposed Analytic Framework, </w:t>
      </w:r>
      <w:r w:rsidR="00191EAF" w:rsidRPr="00415ED5">
        <w:rPr>
          <w:rFonts w:ascii="Times New Roman" w:hAnsi="Times New Roman" w:cs="Times New Roman"/>
          <w:i/>
          <w:iCs/>
          <w:sz w:val="18"/>
          <w:szCs w:val="18"/>
        </w:rPr>
        <w:t xml:space="preserve">supra </w:t>
      </w:r>
      <w:r w:rsidR="00191EAF" w:rsidRPr="00415ED5">
        <w:rPr>
          <w:rFonts w:ascii="Times New Roman" w:hAnsi="Times New Roman" w:cs="Times New Roman"/>
          <w:sz w:val="18"/>
          <w:szCs w:val="18"/>
        </w:rPr>
        <w:t xml:space="preserve">note </w:t>
      </w:r>
      <w:r w:rsidR="00191EAF">
        <w:rPr>
          <w:rFonts w:ascii="Times New Roman" w:hAnsi="Times New Roman" w:cs="Times New Roman"/>
          <w:sz w:val="18"/>
          <w:szCs w:val="18"/>
        </w:rPr>
        <w:t xml:space="preserve">2; 2019 Non-bank Guidance, </w:t>
      </w:r>
      <w:r w:rsidR="00191EAF">
        <w:rPr>
          <w:rFonts w:ascii="Times New Roman" w:hAnsi="Times New Roman" w:cs="Times New Roman"/>
          <w:i/>
          <w:iCs/>
          <w:sz w:val="18"/>
          <w:szCs w:val="18"/>
        </w:rPr>
        <w:t xml:space="preserve">supra </w:t>
      </w:r>
      <w:r w:rsidR="00191EAF">
        <w:rPr>
          <w:rFonts w:ascii="Times New Roman" w:hAnsi="Times New Roman" w:cs="Times New Roman"/>
          <w:sz w:val="18"/>
          <w:szCs w:val="18"/>
        </w:rPr>
        <w:t xml:space="preserve">note 39. </w:t>
      </w:r>
      <w:r w:rsidR="00F02B0D" w:rsidRPr="00415ED5">
        <w:rPr>
          <w:rFonts w:ascii="Times New Roman" w:hAnsi="Times New Roman" w:cs="Times New Roman"/>
          <w:i/>
          <w:iCs/>
          <w:sz w:val="18"/>
          <w:szCs w:val="18"/>
        </w:rPr>
        <w:t xml:space="preserve"> </w:t>
      </w:r>
    </w:p>
  </w:footnote>
  <w:footnote w:id="43">
    <w:p w14:paraId="2AB1B540" w14:textId="082D11F4" w:rsidR="00632961" w:rsidRPr="00AE7C2C" w:rsidRDefault="00632961">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586798">
        <w:rPr>
          <w:rFonts w:ascii="Times New Roman" w:hAnsi="Times New Roman" w:cs="Times New Roman"/>
          <w:sz w:val="18"/>
          <w:szCs w:val="18"/>
        </w:rPr>
        <w:t xml:space="preserve">Proposed Nonbank Guidance, </w:t>
      </w:r>
      <w:r w:rsidR="00586798" w:rsidRPr="00586798">
        <w:rPr>
          <w:rFonts w:ascii="Times New Roman" w:hAnsi="Times New Roman" w:cs="Times New Roman"/>
          <w:i/>
          <w:iCs/>
          <w:sz w:val="18"/>
          <w:szCs w:val="18"/>
        </w:rPr>
        <w:t>supra</w:t>
      </w:r>
      <w:r w:rsidR="00586798">
        <w:rPr>
          <w:rFonts w:ascii="Times New Roman" w:hAnsi="Times New Roman" w:cs="Times New Roman"/>
          <w:sz w:val="18"/>
          <w:szCs w:val="18"/>
        </w:rPr>
        <w:t xml:space="preserve"> note </w:t>
      </w:r>
      <w:r w:rsidR="00826615">
        <w:rPr>
          <w:rFonts w:ascii="Times New Roman" w:hAnsi="Times New Roman" w:cs="Times New Roman"/>
          <w:sz w:val="18"/>
          <w:szCs w:val="18"/>
        </w:rPr>
        <w:t xml:space="preserve">3. </w:t>
      </w:r>
    </w:p>
  </w:footnote>
  <w:footnote w:id="44">
    <w:p w14:paraId="5E93F587" w14:textId="53CDA0D6" w:rsidR="00B44D13" w:rsidRPr="00AE7C2C" w:rsidRDefault="00B44D13">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A910C1" w:rsidRPr="001E406E">
        <w:rPr>
          <w:rFonts w:ascii="Times New Roman" w:hAnsi="Times New Roman" w:cs="Times New Roman"/>
          <w:i/>
          <w:iCs/>
          <w:sz w:val="18"/>
          <w:szCs w:val="18"/>
        </w:rPr>
        <w:t>Id</w:t>
      </w:r>
      <w:r w:rsidR="0016379D" w:rsidRPr="00AE7C2C">
        <w:rPr>
          <w:rFonts w:ascii="Times New Roman" w:hAnsi="Times New Roman" w:cs="Times New Roman"/>
          <w:sz w:val="18"/>
          <w:szCs w:val="18"/>
        </w:rPr>
        <w:t>.</w:t>
      </w:r>
      <w:r w:rsidR="0006493C">
        <w:rPr>
          <w:rFonts w:ascii="Times New Roman" w:hAnsi="Times New Roman" w:cs="Times New Roman"/>
          <w:sz w:val="18"/>
          <w:szCs w:val="18"/>
        </w:rPr>
        <w:t>,</w:t>
      </w:r>
      <w:r w:rsidR="00B602CA">
        <w:rPr>
          <w:rFonts w:ascii="Times New Roman" w:hAnsi="Times New Roman" w:cs="Times New Roman"/>
          <w:sz w:val="18"/>
          <w:szCs w:val="18"/>
        </w:rPr>
        <w:t xml:space="preserve"> at </w:t>
      </w:r>
      <w:r w:rsidR="00B602CA" w:rsidRPr="00AE7C2C">
        <w:rPr>
          <w:rFonts w:ascii="Times New Roman" w:hAnsi="Times New Roman" w:cs="Times New Roman"/>
          <w:sz w:val="18"/>
          <w:szCs w:val="18"/>
        </w:rPr>
        <w:t>2623</w:t>
      </w:r>
      <w:r w:rsidR="00B602CA">
        <w:rPr>
          <w:rFonts w:ascii="Times New Roman" w:hAnsi="Times New Roman" w:cs="Times New Roman"/>
          <w:sz w:val="18"/>
          <w:szCs w:val="18"/>
        </w:rPr>
        <w:t>5</w:t>
      </w:r>
      <w:r w:rsidR="008563BF">
        <w:rPr>
          <w:rFonts w:ascii="Times New Roman" w:hAnsi="Times New Roman" w:cs="Times New Roman"/>
          <w:sz w:val="18"/>
          <w:szCs w:val="18"/>
        </w:rPr>
        <w:t xml:space="preserve"> &amp; 26237</w:t>
      </w:r>
      <w:r w:rsidR="00B602CA">
        <w:rPr>
          <w:rFonts w:ascii="Times New Roman" w:hAnsi="Times New Roman" w:cs="Times New Roman"/>
          <w:sz w:val="18"/>
          <w:szCs w:val="18"/>
        </w:rPr>
        <w:t>.</w:t>
      </w:r>
    </w:p>
  </w:footnote>
  <w:footnote w:id="45">
    <w:p w14:paraId="05B69E4D" w14:textId="57E0DFB9" w:rsidR="00B44D13" w:rsidRPr="001E406E" w:rsidRDefault="00B44D13">
      <w:pPr>
        <w:pStyle w:val="FootnoteText"/>
        <w:rPr>
          <w:rFonts w:ascii="Times New Roman" w:hAnsi="Times New Roman" w:cs="Times New Roman"/>
          <w:i/>
          <w:iCs/>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A910C1" w:rsidRPr="001E406E">
        <w:rPr>
          <w:rFonts w:ascii="Times New Roman" w:hAnsi="Times New Roman" w:cs="Times New Roman"/>
          <w:i/>
          <w:iCs/>
          <w:sz w:val="18"/>
          <w:szCs w:val="18"/>
        </w:rPr>
        <w:t>Id</w:t>
      </w:r>
      <w:r w:rsidR="004C6AD5" w:rsidRPr="00B533DD">
        <w:rPr>
          <w:rFonts w:ascii="Times New Roman" w:hAnsi="Times New Roman" w:cs="Times New Roman"/>
          <w:sz w:val="18"/>
          <w:szCs w:val="18"/>
        </w:rPr>
        <w:t>.</w:t>
      </w:r>
      <w:r w:rsidR="0006493C">
        <w:rPr>
          <w:rFonts w:ascii="Times New Roman" w:hAnsi="Times New Roman" w:cs="Times New Roman"/>
          <w:sz w:val="18"/>
          <w:szCs w:val="18"/>
        </w:rPr>
        <w:t>,</w:t>
      </w:r>
      <w:r w:rsidR="002E5395" w:rsidRPr="00B533DD">
        <w:rPr>
          <w:rFonts w:ascii="Times New Roman" w:hAnsi="Times New Roman" w:cs="Times New Roman"/>
          <w:sz w:val="18"/>
          <w:szCs w:val="18"/>
        </w:rPr>
        <w:t xml:space="preserve"> </w:t>
      </w:r>
      <w:r w:rsidR="002E5395" w:rsidRPr="00AE7C2C">
        <w:rPr>
          <w:rFonts w:ascii="Times New Roman" w:hAnsi="Times New Roman" w:cs="Times New Roman"/>
          <w:sz w:val="18"/>
          <w:szCs w:val="18"/>
        </w:rPr>
        <w:t>2623</w:t>
      </w:r>
      <w:r w:rsidR="002E5395">
        <w:rPr>
          <w:rFonts w:ascii="Times New Roman" w:hAnsi="Times New Roman" w:cs="Times New Roman"/>
          <w:sz w:val="18"/>
          <w:szCs w:val="18"/>
        </w:rPr>
        <w:t>5.</w:t>
      </w:r>
    </w:p>
  </w:footnote>
  <w:footnote w:id="46">
    <w:p w14:paraId="168F6F88" w14:textId="75C570E9" w:rsidR="001A16CC" w:rsidRPr="001E406E" w:rsidRDefault="001A16CC">
      <w:pPr>
        <w:pStyle w:val="FootnoteText"/>
        <w:rPr>
          <w:rFonts w:ascii="Times New Roman" w:hAnsi="Times New Roman" w:cs="Times New Roman"/>
          <w:i/>
          <w:iCs/>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A910C1" w:rsidRPr="001E406E">
        <w:rPr>
          <w:rFonts w:ascii="Times New Roman" w:hAnsi="Times New Roman" w:cs="Times New Roman"/>
          <w:i/>
          <w:iCs/>
          <w:sz w:val="18"/>
          <w:szCs w:val="18"/>
        </w:rPr>
        <w:t>Id</w:t>
      </w:r>
      <w:r w:rsidR="004C6AD5" w:rsidRPr="001E406E">
        <w:rPr>
          <w:rFonts w:ascii="Times New Roman" w:hAnsi="Times New Roman" w:cs="Times New Roman"/>
          <w:i/>
          <w:iCs/>
          <w:sz w:val="18"/>
          <w:szCs w:val="18"/>
        </w:rPr>
        <w:t>.</w:t>
      </w:r>
    </w:p>
  </w:footnote>
  <w:footnote w:id="47">
    <w:p w14:paraId="1821C339" w14:textId="47060562" w:rsidR="007119A8" w:rsidRPr="005A45CF" w:rsidRDefault="007119A8">
      <w:pPr>
        <w:pStyle w:val="FootnoteText"/>
        <w:rPr>
          <w:rFonts w:ascii="Times New Roman" w:hAnsi="Times New Roman" w:cs="Times New Roman"/>
          <w:sz w:val="18"/>
          <w:szCs w:val="18"/>
        </w:rPr>
      </w:pPr>
      <w:r w:rsidRPr="00C617BE">
        <w:rPr>
          <w:rStyle w:val="FootnoteReference"/>
          <w:rFonts w:ascii="Times New Roman" w:hAnsi="Times New Roman" w:cs="Times New Roman"/>
          <w:sz w:val="18"/>
          <w:szCs w:val="18"/>
        </w:rPr>
        <w:footnoteRef/>
      </w:r>
      <w:r w:rsidRPr="00C617BE">
        <w:rPr>
          <w:rFonts w:ascii="Times New Roman" w:hAnsi="Times New Roman" w:cs="Times New Roman"/>
          <w:sz w:val="18"/>
          <w:szCs w:val="18"/>
        </w:rPr>
        <w:t xml:space="preserve"> </w:t>
      </w:r>
      <w:r w:rsidR="00BB7AC9" w:rsidRPr="005A45CF">
        <w:rPr>
          <w:rFonts w:ascii="Times New Roman" w:hAnsi="Times New Roman" w:cs="Times New Roman"/>
          <w:i/>
          <w:iCs/>
          <w:sz w:val="18"/>
          <w:szCs w:val="18"/>
        </w:rPr>
        <w:t>Id</w:t>
      </w:r>
      <w:r w:rsidR="00C617BE" w:rsidRPr="005A45CF">
        <w:rPr>
          <w:rFonts w:ascii="Times New Roman" w:hAnsi="Times New Roman" w:cs="Times New Roman"/>
          <w:i/>
          <w:iCs/>
          <w:sz w:val="18"/>
          <w:szCs w:val="18"/>
        </w:rPr>
        <w:t>.</w:t>
      </w:r>
      <w:r w:rsidR="005B6258" w:rsidRPr="005A45CF">
        <w:rPr>
          <w:rFonts w:ascii="Times New Roman" w:hAnsi="Times New Roman" w:cs="Times New Roman"/>
          <w:i/>
          <w:iCs/>
          <w:sz w:val="18"/>
          <w:szCs w:val="18"/>
        </w:rPr>
        <w:t xml:space="preserve">, </w:t>
      </w:r>
      <w:r w:rsidR="00224347" w:rsidRPr="005A45CF">
        <w:rPr>
          <w:rFonts w:ascii="Times New Roman" w:hAnsi="Times New Roman" w:cs="Times New Roman"/>
          <w:sz w:val="18"/>
          <w:szCs w:val="18"/>
        </w:rPr>
        <w:t>26239</w:t>
      </w:r>
      <w:r w:rsidR="005259B5" w:rsidRPr="005A45CF">
        <w:rPr>
          <w:rFonts w:ascii="Times New Roman" w:hAnsi="Times New Roman" w:cs="Times New Roman"/>
          <w:sz w:val="18"/>
          <w:szCs w:val="18"/>
        </w:rPr>
        <w:t>.</w:t>
      </w:r>
      <w:r w:rsidR="00DA75D9">
        <w:rPr>
          <w:rFonts w:ascii="Times New Roman" w:hAnsi="Times New Roman" w:cs="Times New Roman"/>
          <w:sz w:val="18"/>
          <w:szCs w:val="18"/>
        </w:rPr>
        <w:t xml:space="preserve"> </w:t>
      </w:r>
      <w:r w:rsidR="00C61F63">
        <w:rPr>
          <w:rFonts w:ascii="Times New Roman" w:hAnsi="Times New Roman" w:cs="Times New Roman"/>
          <w:sz w:val="18"/>
          <w:szCs w:val="18"/>
        </w:rPr>
        <w:t xml:space="preserve">In April 2023, the Fed published a report observing that </w:t>
      </w:r>
      <w:r w:rsidR="009F5EB9">
        <w:rPr>
          <w:rFonts w:ascii="Times New Roman" w:hAnsi="Times New Roman" w:cs="Times New Roman"/>
          <w:sz w:val="18"/>
          <w:szCs w:val="18"/>
        </w:rPr>
        <w:t xml:space="preserve">in the lead-up </w:t>
      </w:r>
      <w:r w:rsidR="00665548">
        <w:rPr>
          <w:rFonts w:ascii="Times New Roman" w:hAnsi="Times New Roman" w:cs="Times New Roman"/>
          <w:sz w:val="18"/>
          <w:szCs w:val="18"/>
        </w:rPr>
        <w:t xml:space="preserve">to Silicon Valley Bank’s failure, </w:t>
      </w:r>
      <w:r w:rsidR="00FD3C6F">
        <w:rPr>
          <w:rFonts w:ascii="Times New Roman" w:hAnsi="Times New Roman" w:cs="Times New Roman"/>
          <w:sz w:val="18"/>
          <w:szCs w:val="18"/>
        </w:rPr>
        <w:t>the bank’s</w:t>
      </w:r>
      <w:r w:rsidR="00665548">
        <w:rPr>
          <w:rFonts w:ascii="Times New Roman" w:hAnsi="Times New Roman" w:cs="Times New Roman"/>
          <w:sz w:val="18"/>
          <w:szCs w:val="18"/>
        </w:rPr>
        <w:t xml:space="preserve"> “foundational problems were well known,” but that Fed supervisors “underappreciated important [issues].”</w:t>
      </w:r>
      <w:r w:rsidR="000A5E54">
        <w:rPr>
          <w:rFonts w:ascii="Times New Roman" w:hAnsi="Times New Roman" w:cs="Times New Roman"/>
          <w:sz w:val="18"/>
          <w:szCs w:val="18"/>
        </w:rPr>
        <w:t xml:space="preserve"> </w:t>
      </w:r>
      <w:r w:rsidR="00235B25">
        <w:rPr>
          <w:rFonts w:ascii="Times New Roman" w:hAnsi="Times New Roman" w:cs="Times New Roman"/>
          <w:sz w:val="18"/>
          <w:szCs w:val="18"/>
        </w:rPr>
        <w:t xml:space="preserve">Fed, </w:t>
      </w:r>
      <w:r w:rsidR="00235B25" w:rsidRPr="00235B25">
        <w:rPr>
          <w:rFonts w:ascii="Times New Roman" w:hAnsi="Times New Roman" w:cs="Times New Roman"/>
          <w:sz w:val="18"/>
          <w:szCs w:val="18"/>
        </w:rPr>
        <w:t>Review of the Federal Reserve’s Supervision and Regulation of Silicon Valley Bank</w:t>
      </w:r>
      <w:r w:rsidR="00235B25">
        <w:rPr>
          <w:rFonts w:ascii="Times New Roman" w:hAnsi="Times New Roman" w:cs="Times New Roman"/>
          <w:sz w:val="18"/>
          <w:szCs w:val="18"/>
        </w:rPr>
        <w:t xml:space="preserve"> 5 (Apr. 2023), </w:t>
      </w:r>
      <w:r w:rsidR="00235B25" w:rsidRPr="00235B25">
        <w:rPr>
          <w:rFonts w:ascii="Times New Roman" w:hAnsi="Times New Roman" w:cs="Times New Roman"/>
          <w:sz w:val="18"/>
          <w:szCs w:val="18"/>
        </w:rPr>
        <w:t>https://www.federalreserve.gov/publications/files/svb-review-20230428.pdf</w:t>
      </w:r>
      <w:r w:rsidR="00E601E1">
        <w:rPr>
          <w:rFonts w:ascii="Times New Roman" w:hAnsi="Times New Roman" w:cs="Times New Roman"/>
          <w:sz w:val="18"/>
          <w:szCs w:val="18"/>
        </w:rPr>
        <w:t>.</w:t>
      </w:r>
    </w:p>
  </w:footnote>
  <w:footnote w:id="48">
    <w:p w14:paraId="2C3D35FC" w14:textId="74CEB294" w:rsidR="007119A8" w:rsidRPr="00A918B4" w:rsidRDefault="007119A8">
      <w:pPr>
        <w:pStyle w:val="FootnoteText"/>
        <w:rPr>
          <w:rFonts w:ascii="Times New Roman" w:hAnsi="Times New Roman" w:cs="Times New Roman"/>
          <w:highlight w:val="yellow"/>
        </w:rPr>
      </w:pPr>
      <w:r w:rsidRPr="00113519">
        <w:rPr>
          <w:rStyle w:val="FootnoteReference"/>
          <w:rFonts w:ascii="Times New Roman" w:hAnsi="Times New Roman" w:cs="Times New Roman"/>
          <w:sz w:val="18"/>
          <w:szCs w:val="18"/>
        </w:rPr>
        <w:footnoteRef/>
      </w:r>
      <w:r w:rsidRPr="00113519">
        <w:rPr>
          <w:rFonts w:ascii="Times New Roman" w:hAnsi="Times New Roman" w:cs="Times New Roman"/>
          <w:sz w:val="18"/>
          <w:szCs w:val="18"/>
        </w:rPr>
        <w:t xml:space="preserve"> </w:t>
      </w:r>
      <w:r w:rsidR="00E22C10" w:rsidRPr="00113519">
        <w:rPr>
          <w:rFonts w:ascii="Times New Roman" w:hAnsi="Times New Roman" w:cs="Times New Roman"/>
          <w:i/>
          <w:iCs/>
          <w:sz w:val="18"/>
          <w:szCs w:val="18"/>
        </w:rPr>
        <w:t>Id.</w:t>
      </w:r>
      <w:r w:rsidR="00E22C10" w:rsidRPr="00B533DD">
        <w:rPr>
          <w:rFonts w:ascii="Times New Roman" w:hAnsi="Times New Roman" w:cs="Times New Roman"/>
          <w:sz w:val="18"/>
          <w:szCs w:val="18"/>
        </w:rPr>
        <w:t>,</w:t>
      </w:r>
      <w:r w:rsidR="00E22C10" w:rsidRPr="00113519">
        <w:rPr>
          <w:rFonts w:ascii="Times New Roman" w:hAnsi="Times New Roman" w:cs="Times New Roman"/>
          <w:i/>
          <w:iCs/>
          <w:sz w:val="18"/>
          <w:szCs w:val="18"/>
        </w:rPr>
        <w:t xml:space="preserve"> </w:t>
      </w:r>
      <w:r w:rsidR="00846872" w:rsidRPr="00113519">
        <w:rPr>
          <w:rFonts w:ascii="Times New Roman" w:hAnsi="Times New Roman" w:cs="Times New Roman"/>
          <w:sz w:val="18"/>
          <w:szCs w:val="18"/>
        </w:rPr>
        <w:t>26238</w:t>
      </w:r>
      <w:r w:rsidR="004D3E52">
        <w:rPr>
          <w:rFonts w:ascii="Times New Roman" w:hAnsi="Times New Roman" w:cs="Times New Roman"/>
          <w:sz w:val="18"/>
          <w:szCs w:val="18"/>
        </w:rPr>
        <w:t xml:space="preserve"> </w:t>
      </w:r>
      <w:r w:rsidR="009725C0">
        <w:rPr>
          <w:rFonts w:ascii="Times New Roman" w:hAnsi="Times New Roman" w:cs="Times New Roman"/>
          <w:sz w:val="18"/>
          <w:szCs w:val="18"/>
        </w:rPr>
        <w:t>note</w:t>
      </w:r>
      <w:r w:rsidR="004D3E52">
        <w:rPr>
          <w:rFonts w:ascii="Times New Roman" w:hAnsi="Times New Roman" w:cs="Times New Roman"/>
          <w:sz w:val="18"/>
          <w:szCs w:val="18"/>
        </w:rPr>
        <w:t xml:space="preserve"> 16</w:t>
      </w:r>
      <w:r w:rsidR="005259B5">
        <w:rPr>
          <w:rFonts w:ascii="Times New Roman" w:hAnsi="Times New Roman" w:cs="Times New Roman"/>
        </w:rPr>
        <w:t xml:space="preserve">. </w:t>
      </w:r>
    </w:p>
  </w:footnote>
  <w:footnote w:id="49">
    <w:p w14:paraId="260FCBEC" w14:textId="4A491A02" w:rsidR="007119A8" w:rsidRPr="000F4EE5" w:rsidRDefault="007119A8">
      <w:pPr>
        <w:pStyle w:val="FootnoteText"/>
        <w:rPr>
          <w:rFonts w:ascii="Times New Roman" w:hAnsi="Times New Roman" w:cs="Times New Roman"/>
          <w:sz w:val="18"/>
          <w:szCs w:val="18"/>
        </w:rPr>
      </w:pPr>
      <w:r w:rsidRPr="00B533DD">
        <w:rPr>
          <w:rStyle w:val="FootnoteReference"/>
          <w:rFonts w:ascii="Times New Roman" w:hAnsi="Times New Roman" w:cs="Times New Roman"/>
          <w:sz w:val="18"/>
          <w:szCs w:val="18"/>
        </w:rPr>
        <w:footnoteRef/>
      </w:r>
      <w:r w:rsidRPr="00B533DD">
        <w:rPr>
          <w:rFonts w:ascii="Times New Roman" w:hAnsi="Times New Roman" w:cs="Times New Roman"/>
          <w:sz w:val="18"/>
          <w:szCs w:val="18"/>
        </w:rPr>
        <w:t xml:space="preserve"> </w:t>
      </w:r>
      <w:r w:rsidR="002D2EE0" w:rsidRPr="00B533DD">
        <w:rPr>
          <w:rFonts w:ascii="Times New Roman" w:hAnsi="Times New Roman" w:cs="Times New Roman"/>
          <w:i/>
          <w:iCs/>
          <w:sz w:val="18"/>
          <w:szCs w:val="18"/>
        </w:rPr>
        <w:t xml:space="preserve">Id. </w:t>
      </w:r>
      <w:r w:rsidR="000F4EE5" w:rsidRPr="00B533DD">
        <w:rPr>
          <w:rFonts w:ascii="Times New Roman" w:hAnsi="Times New Roman" w:cs="Times New Roman"/>
          <w:i/>
          <w:iCs/>
          <w:sz w:val="18"/>
          <w:szCs w:val="18"/>
        </w:rPr>
        <w:t>See</w:t>
      </w:r>
      <w:r w:rsidR="000F4EE5" w:rsidRPr="001A5CCE">
        <w:rPr>
          <w:rFonts w:ascii="Times New Roman" w:hAnsi="Times New Roman" w:cs="Times New Roman"/>
          <w:sz w:val="18"/>
          <w:szCs w:val="18"/>
        </w:rPr>
        <w:t xml:space="preserve"> </w:t>
      </w:r>
      <w:r w:rsidR="000F4EE5" w:rsidRPr="001A5CCE">
        <w:rPr>
          <w:rFonts w:ascii="Times New Roman" w:hAnsi="Times New Roman" w:cs="Times New Roman"/>
          <w:i/>
          <w:iCs/>
          <w:sz w:val="18"/>
          <w:szCs w:val="18"/>
        </w:rPr>
        <w:t xml:space="preserve">also </w:t>
      </w:r>
      <w:r w:rsidR="00116132" w:rsidRPr="001A5CCE">
        <w:rPr>
          <w:rFonts w:ascii="Times New Roman" w:hAnsi="Times New Roman" w:cs="Times New Roman"/>
          <w:sz w:val="18"/>
          <w:szCs w:val="18"/>
        </w:rPr>
        <w:t xml:space="preserve">Bank Reg Blog, </w:t>
      </w:r>
      <w:r w:rsidR="00116132" w:rsidRPr="00B533DD">
        <w:rPr>
          <w:rFonts w:ascii="Times New Roman" w:hAnsi="Times New Roman" w:cs="Times New Roman"/>
          <w:i/>
          <w:iCs/>
          <w:sz w:val="18"/>
          <w:szCs w:val="18"/>
        </w:rPr>
        <w:t>FSOC's New Proposals</w:t>
      </w:r>
      <w:r w:rsidR="007A0208" w:rsidRPr="001A5CCE">
        <w:rPr>
          <w:rFonts w:ascii="Times New Roman" w:hAnsi="Times New Roman" w:cs="Times New Roman"/>
          <w:sz w:val="18"/>
          <w:szCs w:val="18"/>
        </w:rPr>
        <w:t xml:space="preserve"> (Apr. 23, 2023), https://bankregblog.substack.com/p/fsocs-new-proposals.</w:t>
      </w:r>
    </w:p>
  </w:footnote>
  <w:footnote w:id="50">
    <w:p w14:paraId="29AFB921" w14:textId="10884307" w:rsidR="004C5C15" w:rsidRDefault="004C5C15">
      <w:pPr>
        <w:pStyle w:val="FootnoteText"/>
      </w:pPr>
      <w:r w:rsidRPr="00113519">
        <w:rPr>
          <w:rStyle w:val="FootnoteReference"/>
          <w:rFonts w:ascii="Times New Roman" w:hAnsi="Times New Roman" w:cs="Times New Roman"/>
          <w:sz w:val="18"/>
          <w:szCs w:val="18"/>
        </w:rPr>
        <w:footnoteRef/>
      </w:r>
      <w:r w:rsidRPr="00113519">
        <w:rPr>
          <w:rFonts w:ascii="Times New Roman" w:hAnsi="Times New Roman" w:cs="Times New Roman"/>
          <w:sz w:val="18"/>
          <w:szCs w:val="18"/>
        </w:rPr>
        <w:t xml:space="preserve"> </w:t>
      </w:r>
      <w:r w:rsidR="00FA0708">
        <w:rPr>
          <w:rFonts w:ascii="Times New Roman" w:hAnsi="Times New Roman" w:cs="Times New Roman"/>
          <w:sz w:val="18"/>
          <w:szCs w:val="18"/>
        </w:rPr>
        <w:t xml:space="preserve">Proposed Nonbank Guidance, </w:t>
      </w:r>
      <w:r w:rsidR="00FA0708" w:rsidRPr="00586798">
        <w:rPr>
          <w:rFonts w:ascii="Times New Roman" w:hAnsi="Times New Roman" w:cs="Times New Roman"/>
          <w:i/>
          <w:iCs/>
          <w:sz w:val="18"/>
          <w:szCs w:val="18"/>
        </w:rPr>
        <w:t>supra</w:t>
      </w:r>
      <w:r w:rsidR="00FA0708">
        <w:rPr>
          <w:rFonts w:ascii="Times New Roman" w:hAnsi="Times New Roman" w:cs="Times New Roman"/>
          <w:sz w:val="18"/>
          <w:szCs w:val="18"/>
        </w:rPr>
        <w:t xml:space="preserve"> note 3</w:t>
      </w:r>
      <w:r w:rsidR="00ED10BC" w:rsidRPr="00113519">
        <w:rPr>
          <w:rFonts w:ascii="Times New Roman" w:hAnsi="Times New Roman" w:cs="Times New Roman"/>
          <w:i/>
          <w:iCs/>
          <w:sz w:val="18"/>
          <w:szCs w:val="18"/>
        </w:rPr>
        <w:t xml:space="preserve">, </w:t>
      </w:r>
      <w:r w:rsidR="003F1AFA" w:rsidRPr="00113519">
        <w:rPr>
          <w:rFonts w:ascii="Times New Roman" w:hAnsi="Times New Roman" w:cs="Times New Roman"/>
          <w:sz w:val="18"/>
          <w:szCs w:val="18"/>
        </w:rPr>
        <w:t>26239.</w:t>
      </w:r>
      <w:r w:rsidR="003F1AFA" w:rsidRPr="00113519">
        <w:rPr>
          <w:sz w:val="18"/>
          <w:szCs w:val="18"/>
        </w:rPr>
        <w:t xml:space="preserve"> </w:t>
      </w:r>
    </w:p>
  </w:footnote>
  <w:footnote w:id="51">
    <w:p w14:paraId="1F282DA3" w14:textId="53BE4015" w:rsidR="004C5C15" w:rsidRPr="00113519" w:rsidRDefault="004C5C15">
      <w:pPr>
        <w:pStyle w:val="FootnoteText"/>
        <w:rPr>
          <w:rFonts w:ascii="Times New Roman" w:hAnsi="Times New Roman" w:cs="Times New Roman"/>
          <w:sz w:val="18"/>
          <w:szCs w:val="18"/>
        </w:rPr>
      </w:pPr>
      <w:r w:rsidRPr="00113519">
        <w:rPr>
          <w:rStyle w:val="FootnoteReference"/>
          <w:rFonts w:ascii="Times New Roman" w:hAnsi="Times New Roman" w:cs="Times New Roman"/>
          <w:sz w:val="18"/>
          <w:szCs w:val="18"/>
        </w:rPr>
        <w:footnoteRef/>
      </w:r>
      <w:r w:rsidRPr="00113519">
        <w:rPr>
          <w:rFonts w:ascii="Times New Roman" w:hAnsi="Times New Roman" w:cs="Times New Roman"/>
          <w:sz w:val="18"/>
          <w:szCs w:val="18"/>
        </w:rPr>
        <w:t xml:space="preserve"> </w:t>
      </w:r>
      <w:r w:rsidR="005A45CF" w:rsidRPr="00113519">
        <w:rPr>
          <w:rFonts w:ascii="Times New Roman" w:hAnsi="Times New Roman" w:cs="Times New Roman"/>
          <w:i/>
          <w:iCs/>
          <w:sz w:val="18"/>
          <w:szCs w:val="18"/>
        </w:rPr>
        <w:t xml:space="preserve">Id., </w:t>
      </w:r>
      <w:r w:rsidR="005A45CF" w:rsidRPr="00113519">
        <w:rPr>
          <w:rFonts w:ascii="Times New Roman" w:hAnsi="Times New Roman" w:cs="Times New Roman"/>
          <w:sz w:val="18"/>
          <w:szCs w:val="18"/>
        </w:rPr>
        <w:t>26240</w:t>
      </w:r>
      <w:r w:rsidR="005C276A" w:rsidRPr="00113519">
        <w:rPr>
          <w:rFonts w:ascii="Times New Roman" w:hAnsi="Times New Roman" w:cs="Times New Roman"/>
          <w:sz w:val="18"/>
          <w:szCs w:val="18"/>
        </w:rPr>
        <w:t xml:space="preserve">. </w:t>
      </w:r>
    </w:p>
  </w:footnote>
  <w:footnote w:id="52">
    <w:p w14:paraId="576B3DB9" w14:textId="2EE6DC14" w:rsidR="00DE5B05" w:rsidRPr="00AE7C2C" w:rsidRDefault="00DE5B05">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B84482">
        <w:rPr>
          <w:rFonts w:ascii="Times New Roman" w:hAnsi="Times New Roman" w:cs="Times New Roman"/>
          <w:i/>
          <w:iCs/>
          <w:sz w:val="18"/>
          <w:szCs w:val="18"/>
        </w:rPr>
        <w:t>Id</w:t>
      </w:r>
      <w:r w:rsidR="00B84482" w:rsidRPr="003A0F6B">
        <w:rPr>
          <w:rFonts w:ascii="Times New Roman" w:hAnsi="Times New Roman" w:cs="Times New Roman"/>
          <w:i/>
          <w:iCs/>
          <w:sz w:val="18"/>
          <w:szCs w:val="18"/>
        </w:rPr>
        <w:t>.</w:t>
      </w:r>
      <w:r w:rsidR="003A0F6B" w:rsidRPr="003A0F6B">
        <w:rPr>
          <w:rFonts w:ascii="Times New Roman" w:hAnsi="Times New Roman" w:cs="Times New Roman"/>
          <w:i/>
          <w:iCs/>
          <w:sz w:val="18"/>
          <w:szCs w:val="18"/>
        </w:rPr>
        <w:t>,</w:t>
      </w:r>
      <w:r w:rsidRPr="003A0F6B">
        <w:rPr>
          <w:rFonts w:ascii="Times New Roman" w:hAnsi="Times New Roman" w:cs="Times New Roman"/>
          <w:i/>
          <w:sz w:val="18"/>
          <w:szCs w:val="18"/>
        </w:rPr>
        <w:t xml:space="preserve"> </w:t>
      </w:r>
      <w:r w:rsidR="00812B07" w:rsidRPr="003A0F6B">
        <w:rPr>
          <w:rFonts w:ascii="Times New Roman" w:hAnsi="Times New Roman" w:cs="Times New Roman"/>
          <w:sz w:val="18"/>
          <w:szCs w:val="18"/>
        </w:rPr>
        <w:t>2623</w:t>
      </w:r>
      <w:r w:rsidR="00566803">
        <w:rPr>
          <w:rFonts w:ascii="Times New Roman" w:hAnsi="Times New Roman" w:cs="Times New Roman"/>
          <w:sz w:val="18"/>
          <w:szCs w:val="18"/>
        </w:rPr>
        <w:t>7</w:t>
      </w:r>
      <w:r w:rsidR="00663984">
        <w:rPr>
          <w:rFonts w:ascii="Times New Roman" w:hAnsi="Times New Roman" w:cs="Times New Roman"/>
          <w:sz w:val="18"/>
          <w:szCs w:val="18"/>
        </w:rPr>
        <w:t>.</w:t>
      </w:r>
      <w:r w:rsidR="00812B07" w:rsidRPr="003A0F6B">
        <w:rPr>
          <w:rFonts w:ascii="Times New Roman" w:hAnsi="Times New Roman" w:cs="Times New Roman"/>
          <w:sz w:val="18"/>
          <w:szCs w:val="18"/>
        </w:rPr>
        <w:t xml:space="preserve"> </w:t>
      </w:r>
    </w:p>
  </w:footnote>
  <w:footnote w:id="53">
    <w:p w14:paraId="492C8FF0" w14:textId="4A457258" w:rsidR="0031794E" w:rsidRPr="00AE7C2C" w:rsidRDefault="0031794E">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Pr="00AE7C2C">
        <w:rPr>
          <w:rFonts w:ascii="Times New Roman" w:hAnsi="Times New Roman" w:cs="Times New Roman"/>
          <w:sz w:val="18"/>
          <w:szCs w:val="18"/>
        </w:rPr>
        <w:t xml:space="preserve"> </w:t>
      </w:r>
      <w:r w:rsidR="0010538D">
        <w:rPr>
          <w:rFonts w:ascii="Times New Roman" w:hAnsi="Times New Roman" w:cs="Times New Roman"/>
          <w:sz w:val="18"/>
          <w:szCs w:val="18"/>
        </w:rPr>
        <w:t xml:space="preserve">2012 Non-bank Guidance, </w:t>
      </w:r>
      <w:r w:rsidR="0010538D">
        <w:rPr>
          <w:rFonts w:ascii="Times New Roman" w:hAnsi="Times New Roman" w:cs="Times New Roman"/>
          <w:i/>
          <w:iCs/>
          <w:sz w:val="18"/>
          <w:szCs w:val="18"/>
        </w:rPr>
        <w:t xml:space="preserve">supra </w:t>
      </w:r>
      <w:r w:rsidR="0010538D">
        <w:rPr>
          <w:rFonts w:ascii="Times New Roman" w:hAnsi="Times New Roman" w:cs="Times New Roman"/>
          <w:sz w:val="18"/>
          <w:szCs w:val="18"/>
        </w:rPr>
        <w:t>note 24</w:t>
      </w:r>
      <w:r w:rsidR="00466D66">
        <w:rPr>
          <w:rFonts w:ascii="Times New Roman" w:hAnsi="Times New Roman" w:cs="Times New Roman"/>
          <w:sz w:val="18"/>
          <w:szCs w:val="18"/>
        </w:rPr>
        <w:t xml:space="preserve">. </w:t>
      </w:r>
    </w:p>
  </w:footnote>
  <w:footnote w:id="54">
    <w:p w14:paraId="6758998F" w14:textId="551E8BA2" w:rsidR="00F87EEF" w:rsidRPr="00AE7C2C" w:rsidRDefault="00F87EEF">
      <w:pPr>
        <w:pStyle w:val="FootnoteText"/>
        <w:rPr>
          <w:rFonts w:ascii="Times New Roman" w:hAnsi="Times New Roman" w:cs="Times New Roman"/>
          <w:sz w:val="18"/>
          <w:szCs w:val="18"/>
        </w:rPr>
      </w:pPr>
      <w:r w:rsidRPr="00AE7C2C">
        <w:rPr>
          <w:rStyle w:val="FootnoteReference"/>
          <w:rFonts w:ascii="Times New Roman" w:hAnsi="Times New Roman" w:cs="Times New Roman"/>
          <w:sz w:val="18"/>
          <w:szCs w:val="18"/>
        </w:rPr>
        <w:footnoteRef/>
      </w:r>
      <w:r w:rsidR="00B2243C">
        <w:rPr>
          <w:rFonts w:ascii="Times New Roman" w:hAnsi="Times New Roman" w:cs="Times New Roman"/>
          <w:sz w:val="18"/>
          <w:szCs w:val="18"/>
        </w:rPr>
        <w:t xml:space="preserve"> </w:t>
      </w:r>
      <w:r w:rsidR="00F41079">
        <w:rPr>
          <w:rFonts w:ascii="Times New Roman" w:hAnsi="Times New Roman" w:cs="Times New Roman"/>
          <w:sz w:val="18"/>
          <w:szCs w:val="18"/>
        </w:rPr>
        <w:t xml:space="preserve">2019 Non-bank Guidance, </w:t>
      </w:r>
      <w:r w:rsidR="00F41079">
        <w:rPr>
          <w:rFonts w:ascii="Times New Roman" w:hAnsi="Times New Roman" w:cs="Times New Roman"/>
          <w:i/>
          <w:iCs/>
          <w:sz w:val="18"/>
          <w:szCs w:val="18"/>
        </w:rPr>
        <w:t xml:space="preserve">supra </w:t>
      </w:r>
      <w:r w:rsidR="00F41079">
        <w:rPr>
          <w:rFonts w:ascii="Times New Roman" w:hAnsi="Times New Roman" w:cs="Times New Roman"/>
          <w:sz w:val="18"/>
          <w:szCs w:val="18"/>
        </w:rPr>
        <w:t>note 39</w:t>
      </w:r>
      <w:r w:rsidR="00F3126F">
        <w:rPr>
          <w:rFonts w:ascii="Times New Roman" w:hAnsi="Times New Roman" w:cs="Times New Roman"/>
          <w:sz w:val="18"/>
          <w:szCs w:val="18"/>
        </w:rPr>
        <w:t>, 71745</w:t>
      </w:r>
      <w:r w:rsidR="00F41079">
        <w:rPr>
          <w:rFonts w:ascii="Times New Roman" w:hAnsi="Times New Roman" w:cs="Times New Roman"/>
          <w:sz w:val="18"/>
          <w:szCs w:val="18"/>
        </w:rPr>
        <w:t>.</w:t>
      </w:r>
    </w:p>
  </w:footnote>
  <w:footnote w:id="55">
    <w:p w14:paraId="7C3E2725" w14:textId="0FDF9F18" w:rsidR="00BB56DE" w:rsidRPr="00C91D0D" w:rsidRDefault="00BB56DE">
      <w:pPr>
        <w:pStyle w:val="FootnoteText"/>
        <w:rPr>
          <w:rFonts w:ascii="Times New Roman" w:hAnsi="Times New Roman" w:cs="Times New Roman"/>
          <w:sz w:val="18"/>
          <w:szCs w:val="18"/>
        </w:rPr>
      </w:pPr>
      <w:r w:rsidRPr="00C91D0D">
        <w:rPr>
          <w:rStyle w:val="FootnoteReference"/>
          <w:rFonts w:ascii="Times New Roman" w:hAnsi="Times New Roman" w:cs="Times New Roman"/>
          <w:sz w:val="18"/>
          <w:szCs w:val="18"/>
        </w:rPr>
        <w:footnoteRef/>
      </w:r>
      <w:r w:rsidRPr="00C91D0D">
        <w:rPr>
          <w:rFonts w:ascii="Times New Roman" w:hAnsi="Times New Roman" w:cs="Times New Roman"/>
          <w:sz w:val="18"/>
          <w:szCs w:val="18"/>
        </w:rPr>
        <w:t xml:space="preserve"> </w:t>
      </w:r>
      <w:r w:rsidR="008823A1" w:rsidRPr="00C91D0D">
        <w:rPr>
          <w:rFonts w:ascii="Times New Roman" w:hAnsi="Times New Roman" w:cs="Times New Roman"/>
          <w:sz w:val="18"/>
          <w:szCs w:val="18"/>
        </w:rPr>
        <w:t xml:space="preserve">Proposed Nonbank Guidance, </w:t>
      </w:r>
      <w:r w:rsidR="008823A1">
        <w:rPr>
          <w:rFonts w:ascii="Times New Roman" w:hAnsi="Times New Roman" w:cs="Times New Roman"/>
          <w:i/>
          <w:iCs/>
          <w:sz w:val="18"/>
          <w:szCs w:val="18"/>
        </w:rPr>
        <w:t xml:space="preserve">supra </w:t>
      </w:r>
      <w:r w:rsidR="008823A1">
        <w:rPr>
          <w:rFonts w:ascii="Times New Roman" w:hAnsi="Times New Roman" w:cs="Times New Roman"/>
          <w:sz w:val="18"/>
          <w:szCs w:val="18"/>
        </w:rPr>
        <w:t xml:space="preserve">note 3, 26236. </w:t>
      </w:r>
    </w:p>
  </w:footnote>
  <w:footnote w:id="56">
    <w:p w14:paraId="21863D1A" w14:textId="10E71C03" w:rsidR="00552455" w:rsidRPr="00A918B4" w:rsidRDefault="00552455">
      <w:pPr>
        <w:pStyle w:val="FootnoteText"/>
        <w:rPr>
          <w:rFonts w:ascii="Times New Roman" w:hAnsi="Times New Roman" w:cs="Times New Roman"/>
          <w:sz w:val="18"/>
          <w:szCs w:val="18"/>
        </w:rPr>
      </w:pPr>
      <w:r w:rsidRPr="00C91D0D">
        <w:rPr>
          <w:rStyle w:val="FootnoteReference"/>
          <w:rFonts w:ascii="Times New Roman" w:hAnsi="Times New Roman" w:cs="Times New Roman"/>
          <w:sz w:val="18"/>
          <w:szCs w:val="18"/>
        </w:rPr>
        <w:footnoteRef/>
      </w:r>
      <w:r w:rsidRPr="00C91D0D">
        <w:rPr>
          <w:rFonts w:ascii="Times New Roman" w:hAnsi="Times New Roman" w:cs="Times New Roman"/>
          <w:sz w:val="18"/>
          <w:szCs w:val="18"/>
        </w:rPr>
        <w:t xml:space="preserve"> </w:t>
      </w:r>
      <w:r w:rsidR="00C91D0D" w:rsidRPr="00C91D0D">
        <w:rPr>
          <w:rFonts w:ascii="Times New Roman" w:hAnsi="Times New Roman" w:cs="Times New Roman"/>
          <w:sz w:val="18"/>
          <w:szCs w:val="18"/>
        </w:rPr>
        <w:t xml:space="preserve">Proposed Analytic Framework, </w:t>
      </w:r>
      <w:r w:rsidR="00C91D0D">
        <w:rPr>
          <w:rFonts w:ascii="Times New Roman" w:hAnsi="Times New Roman" w:cs="Times New Roman"/>
          <w:i/>
          <w:iCs/>
          <w:sz w:val="18"/>
          <w:szCs w:val="18"/>
        </w:rPr>
        <w:t xml:space="preserve">supra </w:t>
      </w:r>
      <w:r w:rsidR="00C91D0D">
        <w:rPr>
          <w:rFonts w:ascii="Times New Roman" w:hAnsi="Times New Roman" w:cs="Times New Roman"/>
          <w:sz w:val="18"/>
          <w:szCs w:val="18"/>
        </w:rPr>
        <w:t xml:space="preserve">note 2, 26306. </w:t>
      </w:r>
    </w:p>
  </w:footnote>
  <w:footnote w:id="57">
    <w:p w14:paraId="1CCE58E7" w14:textId="0D2A4CB9" w:rsidR="000F6EEB" w:rsidRPr="00EC4C07" w:rsidRDefault="000F6EEB">
      <w:pPr>
        <w:pStyle w:val="FootnoteText"/>
        <w:rPr>
          <w:rFonts w:ascii="Times New Roman" w:hAnsi="Times New Roman" w:cs="Times New Roman"/>
          <w:sz w:val="18"/>
          <w:szCs w:val="18"/>
        </w:rPr>
      </w:pPr>
      <w:r w:rsidRPr="00C91D0D">
        <w:rPr>
          <w:rStyle w:val="FootnoteReference"/>
          <w:rFonts w:ascii="Times New Roman" w:hAnsi="Times New Roman" w:cs="Times New Roman"/>
          <w:sz w:val="18"/>
          <w:szCs w:val="18"/>
        </w:rPr>
        <w:footnoteRef/>
      </w:r>
      <w:r w:rsidRPr="00C91D0D">
        <w:rPr>
          <w:rFonts w:ascii="Times New Roman" w:hAnsi="Times New Roman" w:cs="Times New Roman"/>
          <w:sz w:val="18"/>
          <w:szCs w:val="18"/>
        </w:rPr>
        <w:t xml:space="preserve"> </w:t>
      </w:r>
      <w:r w:rsidR="00EC4C07">
        <w:rPr>
          <w:rFonts w:ascii="Times New Roman" w:hAnsi="Times New Roman" w:cs="Times New Roman"/>
          <w:i/>
          <w:iCs/>
          <w:sz w:val="18"/>
          <w:szCs w:val="18"/>
        </w:rPr>
        <w:t>Id.</w:t>
      </w:r>
      <w:r w:rsidR="00EC4C07">
        <w:rPr>
          <w:rFonts w:ascii="Times New Roman" w:hAnsi="Times New Roman" w:cs="Times New Roman"/>
          <w:sz w:val="18"/>
          <w:szCs w:val="18"/>
        </w:rPr>
        <w:t xml:space="preserve">, </w:t>
      </w:r>
      <w:r w:rsidR="007446B4">
        <w:rPr>
          <w:rFonts w:ascii="Times New Roman" w:hAnsi="Times New Roman" w:cs="Times New Roman"/>
          <w:sz w:val="18"/>
          <w:szCs w:val="18"/>
        </w:rPr>
        <w:t xml:space="preserve">26307. </w:t>
      </w:r>
    </w:p>
  </w:footnote>
  <w:footnote w:id="58">
    <w:p w14:paraId="2B09B981" w14:textId="7CFE1CA4" w:rsidR="000F6EEB" w:rsidRPr="005816CC" w:rsidRDefault="000F6EEB">
      <w:pPr>
        <w:pStyle w:val="FootnoteText"/>
        <w:rPr>
          <w:rFonts w:ascii="Times New Roman" w:hAnsi="Times New Roman" w:cs="Times New Roman"/>
          <w:sz w:val="18"/>
          <w:szCs w:val="18"/>
        </w:rPr>
      </w:pPr>
      <w:r w:rsidRPr="00C91D0D">
        <w:rPr>
          <w:rStyle w:val="FootnoteReference"/>
          <w:rFonts w:ascii="Times New Roman" w:hAnsi="Times New Roman" w:cs="Times New Roman"/>
          <w:sz w:val="18"/>
          <w:szCs w:val="18"/>
        </w:rPr>
        <w:footnoteRef/>
      </w:r>
      <w:r w:rsidRPr="00C91D0D">
        <w:rPr>
          <w:rFonts w:ascii="Times New Roman" w:hAnsi="Times New Roman" w:cs="Times New Roman"/>
          <w:sz w:val="18"/>
          <w:szCs w:val="18"/>
        </w:rPr>
        <w:t xml:space="preserve"> </w:t>
      </w:r>
      <w:r w:rsidR="005816CC">
        <w:rPr>
          <w:rFonts w:ascii="Times New Roman" w:hAnsi="Times New Roman" w:cs="Times New Roman"/>
          <w:i/>
          <w:iCs/>
          <w:sz w:val="18"/>
          <w:szCs w:val="18"/>
        </w:rPr>
        <w:t>Id.</w:t>
      </w:r>
    </w:p>
  </w:footnote>
  <w:footnote w:id="59">
    <w:p w14:paraId="18A7B1B4" w14:textId="67F11D62" w:rsidR="008C5D73" w:rsidRPr="00A918B4" w:rsidRDefault="008C5D73">
      <w:pPr>
        <w:pStyle w:val="FootnoteText"/>
        <w:rPr>
          <w:rFonts w:ascii="Times New Roman" w:hAnsi="Times New Roman" w:cs="Times New Roman"/>
          <w:i/>
          <w:iCs/>
          <w:sz w:val="18"/>
          <w:szCs w:val="18"/>
        </w:rPr>
      </w:pPr>
      <w:r w:rsidRPr="00C91D0D">
        <w:rPr>
          <w:rStyle w:val="FootnoteReference"/>
          <w:rFonts w:ascii="Times New Roman" w:hAnsi="Times New Roman" w:cs="Times New Roman"/>
          <w:sz w:val="18"/>
          <w:szCs w:val="18"/>
        </w:rPr>
        <w:footnoteRef/>
      </w:r>
      <w:r w:rsidRPr="00C91D0D">
        <w:rPr>
          <w:rFonts w:ascii="Times New Roman" w:hAnsi="Times New Roman" w:cs="Times New Roman"/>
          <w:sz w:val="18"/>
          <w:szCs w:val="18"/>
        </w:rPr>
        <w:t xml:space="preserve"> </w:t>
      </w:r>
      <w:r w:rsidR="00463C94">
        <w:rPr>
          <w:rFonts w:ascii="Times New Roman" w:hAnsi="Times New Roman" w:cs="Times New Roman"/>
          <w:i/>
          <w:iCs/>
          <w:sz w:val="18"/>
          <w:szCs w:val="18"/>
        </w:rPr>
        <w:t xml:space="preserve">Id. </w:t>
      </w:r>
    </w:p>
  </w:footnote>
  <w:footnote w:id="60">
    <w:p w14:paraId="57A07EFF" w14:textId="4D914A7C" w:rsidR="00E23806" w:rsidRPr="00A918B4" w:rsidRDefault="00E23806">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Pr="00B533DD">
        <w:rPr>
          <w:rFonts w:ascii="Times New Roman" w:hAnsi="Times New Roman" w:cs="Times New Roman"/>
          <w:i/>
          <w:iCs/>
          <w:sz w:val="18"/>
          <w:szCs w:val="18"/>
        </w:rPr>
        <w:t>Compare</w:t>
      </w:r>
      <w:r w:rsidRPr="00A918B4">
        <w:rPr>
          <w:rFonts w:ascii="Times New Roman" w:hAnsi="Times New Roman" w:cs="Times New Roman"/>
          <w:sz w:val="18"/>
          <w:szCs w:val="18"/>
        </w:rPr>
        <w:t xml:space="preserve"> </w:t>
      </w:r>
      <w:r w:rsidR="0006365F">
        <w:rPr>
          <w:rFonts w:ascii="Times New Roman" w:hAnsi="Times New Roman" w:cs="Times New Roman"/>
          <w:sz w:val="18"/>
          <w:szCs w:val="18"/>
        </w:rPr>
        <w:t xml:space="preserve">Proposed Analytic Framework, </w:t>
      </w:r>
      <w:r w:rsidR="0006365F">
        <w:rPr>
          <w:rFonts w:ascii="Times New Roman" w:hAnsi="Times New Roman" w:cs="Times New Roman"/>
          <w:i/>
          <w:iCs/>
          <w:sz w:val="18"/>
          <w:szCs w:val="18"/>
        </w:rPr>
        <w:t xml:space="preserve">supra </w:t>
      </w:r>
      <w:r w:rsidR="0006365F">
        <w:rPr>
          <w:rFonts w:ascii="Times New Roman" w:hAnsi="Times New Roman" w:cs="Times New Roman"/>
          <w:sz w:val="18"/>
          <w:szCs w:val="18"/>
        </w:rPr>
        <w:t>note 2</w:t>
      </w:r>
      <w:r w:rsidR="0075405C">
        <w:rPr>
          <w:rFonts w:ascii="Times New Roman" w:hAnsi="Times New Roman" w:cs="Times New Roman"/>
          <w:sz w:val="18"/>
          <w:szCs w:val="18"/>
        </w:rPr>
        <w:t>,</w:t>
      </w:r>
      <w:r w:rsidR="0006365F" w:rsidRPr="00A918B4">
        <w:rPr>
          <w:rFonts w:ascii="Times New Roman" w:hAnsi="Times New Roman" w:cs="Times New Roman"/>
          <w:sz w:val="18"/>
          <w:szCs w:val="18"/>
        </w:rPr>
        <w:t xml:space="preserve"> </w:t>
      </w:r>
      <w:r w:rsidR="00C209B5" w:rsidRPr="00B533DD">
        <w:rPr>
          <w:rFonts w:ascii="Times New Roman" w:hAnsi="Times New Roman" w:cs="Times New Roman"/>
          <w:i/>
          <w:iCs/>
          <w:sz w:val="18"/>
          <w:szCs w:val="18"/>
        </w:rPr>
        <w:t>w</w:t>
      </w:r>
      <w:r w:rsidRPr="00B533DD">
        <w:rPr>
          <w:rFonts w:ascii="Times New Roman" w:hAnsi="Times New Roman" w:cs="Times New Roman"/>
          <w:i/>
          <w:iCs/>
          <w:sz w:val="18"/>
          <w:szCs w:val="18"/>
        </w:rPr>
        <w:t>ith</w:t>
      </w:r>
      <w:r w:rsidRPr="00A918B4">
        <w:rPr>
          <w:rFonts w:ascii="Times New Roman" w:hAnsi="Times New Roman" w:cs="Times New Roman"/>
          <w:sz w:val="18"/>
          <w:szCs w:val="18"/>
        </w:rPr>
        <w:t xml:space="preserve"> </w:t>
      </w:r>
      <w:r w:rsidR="00C209B5">
        <w:rPr>
          <w:rFonts w:ascii="Times New Roman" w:hAnsi="Times New Roman" w:cs="Times New Roman"/>
          <w:sz w:val="18"/>
          <w:szCs w:val="18"/>
        </w:rPr>
        <w:t xml:space="preserve">2012 Non-bank Guidance, </w:t>
      </w:r>
      <w:r w:rsidR="00C209B5">
        <w:rPr>
          <w:rFonts w:ascii="Times New Roman" w:hAnsi="Times New Roman" w:cs="Times New Roman"/>
          <w:i/>
          <w:iCs/>
          <w:sz w:val="18"/>
          <w:szCs w:val="18"/>
        </w:rPr>
        <w:t xml:space="preserve">supra </w:t>
      </w:r>
      <w:r w:rsidR="00C209B5">
        <w:rPr>
          <w:rFonts w:ascii="Times New Roman" w:hAnsi="Times New Roman" w:cs="Times New Roman"/>
          <w:sz w:val="18"/>
          <w:szCs w:val="18"/>
        </w:rPr>
        <w:t>note 24.</w:t>
      </w:r>
    </w:p>
  </w:footnote>
  <w:footnote w:id="61">
    <w:p w14:paraId="57E8EF89" w14:textId="1FF24549" w:rsidR="00E23806" w:rsidRPr="00A918B4" w:rsidRDefault="00E23806">
      <w:pPr>
        <w:pStyle w:val="FootnoteText"/>
        <w:rPr>
          <w:rFonts w:ascii="Times New Roman" w:hAnsi="Times New Roman" w:cs="Times New Roman"/>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00104249">
        <w:rPr>
          <w:rFonts w:ascii="Times New Roman" w:hAnsi="Times New Roman" w:cs="Times New Roman"/>
          <w:sz w:val="18"/>
          <w:szCs w:val="18"/>
        </w:rPr>
        <w:t xml:space="preserve">Proposed Analytic Framework, </w:t>
      </w:r>
      <w:r w:rsidR="00104249">
        <w:rPr>
          <w:rFonts w:ascii="Times New Roman" w:hAnsi="Times New Roman" w:cs="Times New Roman"/>
          <w:i/>
          <w:iCs/>
          <w:sz w:val="18"/>
          <w:szCs w:val="18"/>
        </w:rPr>
        <w:t xml:space="preserve">supra </w:t>
      </w:r>
      <w:r w:rsidR="00104249">
        <w:rPr>
          <w:rFonts w:ascii="Times New Roman" w:hAnsi="Times New Roman" w:cs="Times New Roman"/>
          <w:sz w:val="18"/>
          <w:szCs w:val="18"/>
        </w:rPr>
        <w:t xml:space="preserve">note 2, 26308. </w:t>
      </w:r>
    </w:p>
  </w:footnote>
  <w:footnote w:id="62">
    <w:p w14:paraId="055BB67A" w14:textId="650F52D8" w:rsidR="00E23806" w:rsidRPr="00A918B4" w:rsidRDefault="00E23806">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00F614E4">
        <w:rPr>
          <w:rFonts w:ascii="Times New Roman" w:hAnsi="Times New Roman" w:cs="Times New Roman"/>
          <w:i/>
          <w:iCs/>
          <w:sz w:val="18"/>
          <w:szCs w:val="18"/>
        </w:rPr>
        <w:t>Id.</w:t>
      </w:r>
      <w:r w:rsidR="00F614E4">
        <w:rPr>
          <w:rFonts w:ascii="Times New Roman" w:hAnsi="Times New Roman" w:cs="Times New Roman"/>
          <w:sz w:val="18"/>
          <w:szCs w:val="18"/>
        </w:rPr>
        <w:t xml:space="preserve">, </w:t>
      </w:r>
      <w:r w:rsidR="00B51CB0">
        <w:rPr>
          <w:rFonts w:ascii="Times New Roman" w:hAnsi="Times New Roman" w:cs="Times New Roman"/>
          <w:sz w:val="18"/>
          <w:szCs w:val="18"/>
        </w:rPr>
        <w:t>26310</w:t>
      </w:r>
      <w:r w:rsidR="00A01FA5">
        <w:rPr>
          <w:rFonts w:ascii="Times New Roman" w:hAnsi="Times New Roman" w:cs="Times New Roman"/>
          <w:sz w:val="18"/>
          <w:szCs w:val="18"/>
        </w:rPr>
        <w:t xml:space="preserve"> (indicating that the Proposed Analytic Framework applies to FSOC’s Section 804 PCS Activity designation authority)</w:t>
      </w:r>
      <w:r w:rsidR="00B51CB0">
        <w:rPr>
          <w:rFonts w:ascii="Times New Roman" w:hAnsi="Times New Roman" w:cs="Times New Roman"/>
          <w:sz w:val="18"/>
          <w:szCs w:val="18"/>
        </w:rPr>
        <w:t>.</w:t>
      </w:r>
    </w:p>
  </w:footnote>
  <w:footnote w:id="63">
    <w:p w14:paraId="131F3889" w14:textId="59968A99" w:rsidR="00C0080B" w:rsidRPr="00A918B4" w:rsidRDefault="00C0080B">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3C1F7D">
        <w:rPr>
          <w:rFonts w:ascii="Times New Roman" w:hAnsi="Times New Roman" w:cs="Times New Roman"/>
          <w:sz w:val="18"/>
          <w:szCs w:val="18"/>
        </w:rPr>
        <w:t xml:space="preserve"> </w:t>
      </w:r>
      <w:r w:rsidR="00516584" w:rsidRPr="00A918B4">
        <w:rPr>
          <w:rFonts w:ascii="Times New Roman" w:hAnsi="Times New Roman" w:cs="Times New Roman"/>
          <w:sz w:val="18"/>
          <w:szCs w:val="18"/>
        </w:rPr>
        <w:t xml:space="preserve">FSOC, 2022 Annual Report </w:t>
      </w:r>
      <w:r w:rsidR="003203F3" w:rsidRPr="00A918B4">
        <w:rPr>
          <w:rFonts w:ascii="Times New Roman" w:hAnsi="Times New Roman" w:cs="Times New Roman"/>
          <w:sz w:val="18"/>
          <w:szCs w:val="18"/>
        </w:rPr>
        <w:t>42</w:t>
      </w:r>
      <w:r w:rsidR="00516584" w:rsidRPr="00A918B4">
        <w:rPr>
          <w:rFonts w:ascii="Times New Roman" w:hAnsi="Times New Roman" w:cs="Times New Roman"/>
          <w:sz w:val="18"/>
          <w:szCs w:val="18"/>
        </w:rPr>
        <w:t xml:space="preserve"> (2022), https://home.treasury.gov/system/files/261/FSOC2022AnnualReport.pdf</w:t>
      </w:r>
      <w:r w:rsidR="00862A21">
        <w:rPr>
          <w:rFonts w:ascii="Times New Roman" w:hAnsi="Times New Roman" w:cs="Times New Roman"/>
          <w:sz w:val="18"/>
          <w:szCs w:val="18"/>
        </w:rPr>
        <w:t>.</w:t>
      </w:r>
    </w:p>
  </w:footnote>
  <w:footnote w:id="64">
    <w:p w14:paraId="050C2F64" w14:textId="70D4212A" w:rsidR="00C0080B" w:rsidRPr="00A918B4" w:rsidRDefault="00C0080B">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00BD7624" w:rsidRPr="00A918B4">
        <w:rPr>
          <w:rFonts w:ascii="Times New Roman" w:hAnsi="Times New Roman" w:cs="Times New Roman"/>
          <w:i/>
          <w:iCs/>
          <w:sz w:val="18"/>
          <w:szCs w:val="18"/>
        </w:rPr>
        <w:t>Id</w:t>
      </w:r>
      <w:r w:rsidR="00BD7624" w:rsidRPr="00A918B4">
        <w:rPr>
          <w:rFonts w:ascii="Times New Roman" w:hAnsi="Times New Roman" w:cs="Times New Roman"/>
          <w:sz w:val="18"/>
          <w:szCs w:val="18"/>
        </w:rPr>
        <w:t>. at 8</w:t>
      </w:r>
      <w:r w:rsidR="00E34EA8" w:rsidRPr="00A918B4">
        <w:rPr>
          <w:rFonts w:ascii="Times New Roman" w:hAnsi="Times New Roman" w:cs="Times New Roman"/>
          <w:sz w:val="18"/>
          <w:szCs w:val="18"/>
        </w:rPr>
        <w:t>,</w:t>
      </w:r>
      <w:r w:rsidR="00BD7624" w:rsidRPr="00A918B4">
        <w:rPr>
          <w:rFonts w:ascii="Times New Roman" w:hAnsi="Times New Roman" w:cs="Times New Roman"/>
          <w:sz w:val="18"/>
          <w:szCs w:val="18"/>
        </w:rPr>
        <w:t xml:space="preserve"> </w:t>
      </w:r>
      <w:r w:rsidR="00A17A60" w:rsidRPr="00A918B4">
        <w:rPr>
          <w:rFonts w:ascii="Times New Roman" w:hAnsi="Times New Roman" w:cs="Times New Roman"/>
          <w:sz w:val="18"/>
          <w:szCs w:val="18"/>
        </w:rPr>
        <w:t xml:space="preserve">9, </w:t>
      </w:r>
      <w:r w:rsidR="0013633E" w:rsidRPr="00A918B4">
        <w:rPr>
          <w:rFonts w:ascii="Times New Roman" w:hAnsi="Times New Roman" w:cs="Times New Roman"/>
          <w:sz w:val="18"/>
          <w:szCs w:val="18"/>
        </w:rPr>
        <w:t xml:space="preserve">23, </w:t>
      </w:r>
      <w:r w:rsidR="00BD7624" w:rsidRPr="00A918B4">
        <w:rPr>
          <w:rFonts w:ascii="Times New Roman" w:hAnsi="Times New Roman" w:cs="Times New Roman"/>
          <w:sz w:val="18"/>
          <w:szCs w:val="18"/>
        </w:rPr>
        <w:t>26</w:t>
      </w:r>
      <w:r w:rsidR="00A17A60" w:rsidRPr="00A918B4">
        <w:rPr>
          <w:rFonts w:ascii="Times New Roman" w:hAnsi="Times New Roman" w:cs="Times New Roman"/>
          <w:sz w:val="18"/>
          <w:szCs w:val="18"/>
        </w:rPr>
        <w:t xml:space="preserve"> &amp;</w:t>
      </w:r>
      <w:r w:rsidR="00E34EA8" w:rsidRPr="00A918B4">
        <w:rPr>
          <w:rFonts w:ascii="Times New Roman" w:hAnsi="Times New Roman" w:cs="Times New Roman"/>
          <w:sz w:val="18"/>
          <w:szCs w:val="18"/>
        </w:rPr>
        <w:t xml:space="preserve"> 84</w:t>
      </w:r>
      <w:r w:rsidR="00A17A60" w:rsidRPr="00A918B4">
        <w:rPr>
          <w:rFonts w:ascii="Times New Roman" w:hAnsi="Times New Roman" w:cs="Times New Roman"/>
          <w:sz w:val="18"/>
          <w:szCs w:val="18"/>
        </w:rPr>
        <w:t>.</w:t>
      </w:r>
    </w:p>
  </w:footnote>
  <w:footnote w:id="65">
    <w:p w14:paraId="17D23332" w14:textId="0CAE6597" w:rsidR="00C0080B" w:rsidRPr="00A918B4" w:rsidRDefault="00C0080B">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004B66A7">
        <w:rPr>
          <w:rFonts w:ascii="Times New Roman" w:hAnsi="Times New Roman" w:cs="Times New Roman"/>
          <w:sz w:val="18"/>
          <w:szCs w:val="18"/>
        </w:rPr>
        <w:t xml:space="preserve">Gary Gensler, </w:t>
      </w:r>
      <w:r w:rsidR="005F56DB">
        <w:rPr>
          <w:rFonts w:ascii="Times New Roman" w:hAnsi="Times New Roman" w:cs="Times New Roman"/>
          <w:sz w:val="18"/>
          <w:szCs w:val="18"/>
        </w:rPr>
        <w:t>Remarks before the Financial Stability Oversight Council Financial Stability Risks &amp; Guidance on Nonbank Determinations</w:t>
      </w:r>
      <w:r w:rsidR="00382642">
        <w:rPr>
          <w:rFonts w:ascii="Times New Roman" w:hAnsi="Times New Roman" w:cs="Times New Roman"/>
          <w:sz w:val="18"/>
          <w:szCs w:val="18"/>
        </w:rPr>
        <w:t xml:space="preserve"> (Apr. 21, 2023), </w:t>
      </w:r>
      <w:r w:rsidR="00DE11F8" w:rsidRPr="00B533DD">
        <w:rPr>
          <w:rFonts w:ascii="Times New Roman" w:hAnsi="Times New Roman" w:cs="Times New Roman"/>
          <w:sz w:val="18"/>
          <w:szCs w:val="18"/>
        </w:rPr>
        <w:t>https://www.sec.gov/news/speech/gensler-remarks-fsoc-042123</w:t>
      </w:r>
      <w:r w:rsidR="003F29C0">
        <w:rPr>
          <w:rFonts w:ascii="Times New Roman" w:hAnsi="Times New Roman" w:cs="Times New Roman"/>
          <w:sz w:val="18"/>
          <w:szCs w:val="18"/>
        </w:rPr>
        <w:t xml:space="preserve">; </w:t>
      </w:r>
      <w:r w:rsidR="00390457">
        <w:rPr>
          <w:rFonts w:ascii="Times New Roman" w:hAnsi="Times New Roman" w:cs="Times New Roman"/>
          <w:sz w:val="18"/>
          <w:szCs w:val="18"/>
        </w:rPr>
        <w:t xml:space="preserve">Rohit Chopra, Statement of CFPB Director Rohit Chopra on the Proposed Restoration of the Financial Stability Oversight Council’s Authority and Regulatory Credibility (Apr. 21, 2023), </w:t>
      </w:r>
      <w:r w:rsidR="00DE11F8" w:rsidRPr="00B533DD">
        <w:rPr>
          <w:rFonts w:ascii="Times New Roman" w:hAnsi="Times New Roman" w:cs="Times New Roman"/>
          <w:sz w:val="18"/>
          <w:szCs w:val="18"/>
        </w:rPr>
        <w:t>https://www.consumerfinance.gov/about-us/newsroom/statement-of-cfpb-director-rohit-chopra-on-proposed-restoration-of-financial-stability-oversight-council-authority-regulatory-credibility/</w:t>
      </w:r>
      <w:r w:rsidR="00390457">
        <w:rPr>
          <w:rFonts w:ascii="Times New Roman" w:hAnsi="Times New Roman" w:cs="Times New Roman"/>
          <w:sz w:val="18"/>
          <w:szCs w:val="18"/>
        </w:rPr>
        <w:t xml:space="preserve">. </w:t>
      </w:r>
    </w:p>
  </w:footnote>
  <w:footnote w:id="66">
    <w:p w14:paraId="1F5F9895" w14:textId="197C1884" w:rsidR="002B04A3" w:rsidRPr="00A918B4" w:rsidRDefault="002B04A3">
      <w:pPr>
        <w:pStyle w:val="FootnoteText"/>
        <w:rPr>
          <w:rFonts w:ascii="Times New Roman" w:hAnsi="Times New Roman" w:cs="Times New Roman"/>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FSOC, </w:t>
      </w:r>
      <w:r w:rsidRPr="00A918B4">
        <w:rPr>
          <w:rFonts w:ascii="Times New Roman" w:hAnsi="Times New Roman" w:cs="Times New Roman"/>
          <w:i/>
          <w:iCs/>
          <w:sz w:val="18"/>
          <w:szCs w:val="18"/>
        </w:rPr>
        <w:t>supra</w:t>
      </w:r>
      <w:r w:rsidRPr="00A918B4">
        <w:rPr>
          <w:rFonts w:ascii="Times New Roman" w:hAnsi="Times New Roman" w:cs="Times New Roman"/>
          <w:sz w:val="18"/>
          <w:szCs w:val="18"/>
        </w:rPr>
        <w:t xml:space="preserve"> note 6</w:t>
      </w:r>
      <w:r w:rsidR="00297AFE">
        <w:rPr>
          <w:rFonts w:ascii="Times New Roman" w:hAnsi="Times New Roman" w:cs="Times New Roman"/>
          <w:sz w:val="18"/>
          <w:szCs w:val="18"/>
        </w:rPr>
        <w:t>2</w:t>
      </w:r>
      <w:r w:rsidRPr="00A918B4">
        <w:rPr>
          <w:rFonts w:ascii="Times New Roman" w:hAnsi="Times New Roman" w:cs="Times New Roman"/>
          <w:sz w:val="18"/>
          <w:szCs w:val="18"/>
        </w:rPr>
        <w:t>, at 12.</w:t>
      </w:r>
    </w:p>
  </w:footnote>
  <w:footnote w:id="67">
    <w:p w14:paraId="11FBCE8B" w14:textId="422DEEC0" w:rsidR="005C2B9F" w:rsidRPr="00A918B4" w:rsidRDefault="005C2B9F" w:rsidP="0025579D">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Pr="00A918B4">
        <w:rPr>
          <w:rFonts w:ascii="Times New Roman" w:hAnsi="Times New Roman" w:cs="Times New Roman"/>
          <w:i/>
          <w:iCs/>
          <w:sz w:val="18"/>
          <w:szCs w:val="18"/>
        </w:rPr>
        <w:t xml:space="preserve">See </w:t>
      </w:r>
      <w:r w:rsidRPr="00A918B4">
        <w:rPr>
          <w:rFonts w:ascii="Times New Roman" w:hAnsi="Times New Roman" w:cs="Times New Roman"/>
          <w:sz w:val="18"/>
          <w:szCs w:val="18"/>
        </w:rPr>
        <w:t xml:space="preserve">David Wessel, Panel at the Brookings Institution on Questioning the Legality and Legitimacy of Responses to the 2008 Financial Crisis (Apr. 6, 2015), https://www.brookings.edu/wp-content/uploads/2015/03/20150406_2008_financial_crisis_transcript.pdf (noting that </w:t>
      </w:r>
      <w:r w:rsidR="00AC2319">
        <w:rPr>
          <w:rFonts w:ascii="Times New Roman" w:hAnsi="Times New Roman" w:cs="Times New Roman"/>
          <w:sz w:val="18"/>
          <w:szCs w:val="18"/>
        </w:rPr>
        <w:t xml:space="preserve">a </w:t>
      </w:r>
      <w:r w:rsidRPr="00A918B4">
        <w:rPr>
          <w:rFonts w:ascii="Times New Roman" w:hAnsi="Times New Roman" w:cs="Times New Roman"/>
          <w:sz w:val="18"/>
          <w:szCs w:val="18"/>
        </w:rPr>
        <w:t xml:space="preserve">former Bank of England </w:t>
      </w:r>
      <w:r w:rsidR="00AC2319">
        <w:rPr>
          <w:rFonts w:ascii="Times New Roman" w:hAnsi="Times New Roman" w:cs="Times New Roman"/>
          <w:sz w:val="18"/>
          <w:szCs w:val="18"/>
        </w:rPr>
        <w:t xml:space="preserve">Deputy </w:t>
      </w:r>
      <w:r w:rsidRPr="00A918B4">
        <w:rPr>
          <w:rFonts w:ascii="Times New Roman" w:hAnsi="Times New Roman" w:cs="Times New Roman"/>
          <w:sz w:val="18"/>
          <w:szCs w:val="18"/>
        </w:rPr>
        <w:t>Governor observed that the FSB was not established by a treaty and there is no recourse to its decision-making)</w:t>
      </w:r>
      <w:r w:rsidR="00A22782" w:rsidRPr="00A918B4">
        <w:rPr>
          <w:rFonts w:ascii="Times New Roman" w:hAnsi="Times New Roman" w:cs="Times New Roman"/>
          <w:sz w:val="18"/>
          <w:szCs w:val="18"/>
        </w:rPr>
        <w:t xml:space="preserve">; </w:t>
      </w:r>
      <w:r w:rsidR="00781891" w:rsidRPr="00A918B4">
        <w:rPr>
          <w:rFonts w:ascii="Times New Roman" w:hAnsi="Times New Roman" w:cs="Times New Roman"/>
          <w:sz w:val="18"/>
          <w:szCs w:val="18"/>
        </w:rPr>
        <w:t xml:space="preserve">Rep. Jeff Hensarling, </w:t>
      </w:r>
      <w:r w:rsidR="0025579D" w:rsidRPr="00A918B4">
        <w:rPr>
          <w:rFonts w:ascii="Times New Roman" w:hAnsi="Times New Roman" w:cs="Times New Roman"/>
          <w:sz w:val="18"/>
          <w:szCs w:val="18"/>
        </w:rPr>
        <w:t>Press Release: Chairman Hensarling Once Again Calls on FSOC to “Cease and Desist” Too-Big-To-Fail Designations Until Questions Are Answered</w:t>
      </w:r>
      <w:r w:rsidR="0043411D" w:rsidRPr="00A918B4">
        <w:rPr>
          <w:rFonts w:ascii="Times New Roman" w:hAnsi="Times New Roman" w:cs="Times New Roman"/>
          <w:sz w:val="18"/>
          <w:szCs w:val="18"/>
        </w:rPr>
        <w:t xml:space="preserve"> (May 2014)</w:t>
      </w:r>
      <w:r w:rsidR="0025579D" w:rsidRPr="00A918B4">
        <w:rPr>
          <w:rFonts w:ascii="Times New Roman" w:hAnsi="Times New Roman" w:cs="Times New Roman"/>
          <w:sz w:val="18"/>
          <w:szCs w:val="18"/>
        </w:rPr>
        <w:t>,</w:t>
      </w:r>
      <w:r w:rsidR="0043411D" w:rsidRPr="00A918B4">
        <w:rPr>
          <w:rFonts w:ascii="Times New Roman" w:hAnsi="Times New Roman" w:cs="Times New Roman"/>
          <w:sz w:val="18"/>
          <w:szCs w:val="18"/>
        </w:rPr>
        <w:t xml:space="preserve"> https://financialservices.house.gov/news/documentsingle.aspx?DocumentID=380567</w:t>
      </w:r>
      <w:r w:rsidR="00672B8A" w:rsidRPr="00A918B4">
        <w:rPr>
          <w:rFonts w:ascii="Times New Roman" w:hAnsi="Times New Roman" w:cs="Times New Roman"/>
          <w:sz w:val="18"/>
          <w:szCs w:val="18"/>
        </w:rPr>
        <w:t>.</w:t>
      </w:r>
    </w:p>
  </w:footnote>
  <w:footnote w:id="68">
    <w:p w14:paraId="5B535BF2" w14:textId="6C95D28E" w:rsidR="00EA3E4A" w:rsidRPr="00A918B4" w:rsidRDefault="00EA3E4A">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00D10BB6" w:rsidRPr="00A918B4">
        <w:rPr>
          <w:rFonts w:ascii="Times New Roman" w:hAnsi="Times New Roman" w:cs="Times New Roman"/>
          <w:sz w:val="18"/>
          <w:szCs w:val="18"/>
        </w:rPr>
        <w:t xml:space="preserve"> </w:t>
      </w:r>
      <w:r w:rsidR="00C66441" w:rsidRPr="00A918B4">
        <w:rPr>
          <w:rFonts w:ascii="Times New Roman" w:hAnsi="Times New Roman" w:cs="Times New Roman"/>
          <w:sz w:val="18"/>
          <w:szCs w:val="18"/>
        </w:rPr>
        <w:t>Remarks by Secretary of the Treasury Janet L. Yellen at the National Association for Business Economics 39</w:t>
      </w:r>
      <w:r w:rsidR="00C66441" w:rsidRPr="00A918B4">
        <w:rPr>
          <w:rFonts w:ascii="Times New Roman" w:hAnsi="Times New Roman" w:cs="Times New Roman"/>
          <w:sz w:val="18"/>
          <w:szCs w:val="18"/>
          <w:vertAlign w:val="superscript"/>
        </w:rPr>
        <w:t>th</w:t>
      </w:r>
      <w:r w:rsidR="00C66441" w:rsidRPr="00A918B4">
        <w:rPr>
          <w:rFonts w:ascii="Times New Roman" w:hAnsi="Times New Roman" w:cs="Times New Roman"/>
          <w:sz w:val="18"/>
          <w:szCs w:val="18"/>
        </w:rPr>
        <w:t xml:space="preserve"> Annual Economic Policy Conference</w:t>
      </w:r>
      <w:r w:rsidR="00050E37" w:rsidRPr="00A918B4">
        <w:rPr>
          <w:rFonts w:ascii="Times New Roman" w:hAnsi="Times New Roman" w:cs="Times New Roman"/>
          <w:sz w:val="18"/>
          <w:szCs w:val="18"/>
        </w:rPr>
        <w:t xml:space="preserve"> (Mar. 30, 2023), </w:t>
      </w:r>
      <w:r w:rsidR="000A2A6C" w:rsidRPr="00A918B4">
        <w:rPr>
          <w:rFonts w:ascii="Times New Roman" w:hAnsi="Times New Roman" w:cs="Times New Roman"/>
          <w:sz w:val="18"/>
          <w:szCs w:val="18"/>
        </w:rPr>
        <w:t>https://home.treasury.gov/news/press-releases/jy1376</w:t>
      </w:r>
      <w:r w:rsidR="00050E37" w:rsidRPr="00A918B4">
        <w:rPr>
          <w:rFonts w:ascii="Times New Roman" w:hAnsi="Times New Roman" w:cs="Times New Roman"/>
          <w:sz w:val="18"/>
          <w:szCs w:val="18"/>
        </w:rPr>
        <w:t>.</w:t>
      </w:r>
      <w:r w:rsidR="000A2A6C" w:rsidRPr="00A918B4">
        <w:rPr>
          <w:rFonts w:ascii="Times New Roman" w:hAnsi="Times New Roman" w:cs="Times New Roman"/>
          <w:sz w:val="18"/>
          <w:szCs w:val="18"/>
        </w:rPr>
        <w:t xml:space="preserve"> </w:t>
      </w:r>
    </w:p>
  </w:footnote>
  <w:footnote w:id="69">
    <w:p w14:paraId="54E8971A" w14:textId="48C53E71" w:rsidR="004F1A73" w:rsidRPr="00A918B4" w:rsidRDefault="004F1A73">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006D6DB7" w:rsidRPr="00A918B4">
        <w:rPr>
          <w:rFonts w:ascii="Times New Roman" w:hAnsi="Times New Roman" w:cs="Times New Roman"/>
          <w:i/>
          <w:iCs/>
          <w:sz w:val="18"/>
          <w:szCs w:val="18"/>
        </w:rPr>
        <w:t>Id.</w:t>
      </w:r>
    </w:p>
  </w:footnote>
  <w:footnote w:id="70">
    <w:p w14:paraId="55E46C18" w14:textId="3B8B3CA4" w:rsidR="00F431FC" w:rsidRPr="00A918B4" w:rsidRDefault="00F431FC">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0021599E" w:rsidRPr="00A918B4">
        <w:rPr>
          <w:rFonts w:ascii="Times New Roman" w:hAnsi="Times New Roman" w:cs="Times New Roman"/>
          <w:sz w:val="18"/>
          <w:szCs w:val="18"/>
        </w:rPr>
        <w:t xml:space="preserve">The White House, G20 Bali Leaders’ Declaration (Nov. 16, 2022), </w:t>
      </w:r>
      <w:r w:rsidRPr="00A918B4">
        <w:rPr>
          <w:rFonts w:ascii="Times New Roman" w:hAnsi="Times New Roman" w:cs="Times New Roman"/>
          <w:sz w:val="18"/>
          <w:szCs w:val="18"/>
        </w:rPr>
        <w:t>https://www.whitehouse.gov/briefing-room/statements-releases/2022/11/16/g20-bali-leaders-declaration/</w:t>
      </w:r>
      <w:r w:rsidR="0021599E" w:rsidRPr="00A918B4">
        <w:rPr>
          <w:rFonts w:ascii="Times New Roman" w:hAnsi="Times New Roman" w:cs="Times New Roman"/>
          <w:sz w:val="18"/>
          <w:szCs w:val="18"/>
        </w:rPr>
        <w:t>.</w:t>
      </w:r>
      <w:r w:rsidR="00A41FD2">
        <w:rPr>
          <w:rFonts w:ascii="Times New Roman" w:hAnsi="Times New Roman" w:cs="Times New Roman"/>
          <w:sz w:val="18"/>
          <w:szCs w:val="18"/>
        </w:rPr>
        <w:t xml:space="preserve"> </w:t>
      </w:r>
      <w:r w:rsidR="006827AE">
        <w:rPr>
          <w:rFonts w:ascii="Times New Roman" w:hAnsi="Times New Roman" w:cs="Times New Roman"/>
          <w:sz w:val="18"/>
          <w:szCs w:val="18"/>
        </w:rPr>
        <w:t>I</w:t>
      </w:r>
      <w:r w:rsidR="00A41FD2">
        <w:rPr>
          <w:rFonts w:ascii="Times New Roman" w:hAnsi="Times New Roman" w:cs="Times New Roman"/>
          <w:sz w:val="18"/>
          <w:szCs w:val="18"/>
        </w:rPr>
        <w:t>n</w:t>
      </w:r>
      <w:r w:rsidR="000F2576">
        <w:rPr>
          <w:rFonts w:ascii="Times New Roman" w:hAnsi="Times New Roman" w:cs="Times New Roman"/>
          <w:sz w:val="18"/>
          <w:szCs w:val="18"/>
        </w:rPr>
        <w:t>deed, in</w:t>
      </w:r>
      <w:r w:rsidR="00A41FD2">
        <w:rPr>
          <w:rFonts w:ascii="Times New Roman" w:hAnsi="Times New Roman" w:cs="Times New Roman"/>
          <w:sz w:val="18"/>
          <w:szCs w:val="18"/>
        </w:rPr>
        <w:t xml:space="preserve"> 2021, </w:t>
      </w:r>
      <w:r w:rsidR="002C1A07">
        <w:rPr>
          <w:rFonts w:ascii="Times New Roman" w:hAnsi="Times New Roman" w:cs="Times New Roman"/>
          <w:sz w:val="18"/>
          <w:szCs w:val="18"/>
        </w:rPr>
        <w:t>the Biden Administration</w:t>
      </w:r>
      <w:r w:rsidR="00A41FD2">
        <w:rPr>
          <w:rFonts w:ascii="Times New Roman" w:hAnsi="Times New Roman" w:cs="Times New Roman"/>
          <w:sz w:val="18"/>
          <w:szCs w:val="18"/>
        </w:rPr>
        <w:t xml:space="preserve"> </w:t>
      </w:r>
      <w:r w:rsidR="002C1A07">
        <w:rPr>
          <w:rFonts w:ascii="Times New Roman" w:hAnsi="Times New Roman" w:cs="Times New Roman"/>
          <w:sz w:val="18"/>
          <w:szCs w:val="18"/>
        </w:rPr>
        <w:t xml:space="preserve">endorsed FSOC using its Section 804 authority to designate certain </w:t>
      </w:r>
      <w:r w:rsidR="00A41FD2">
        <w:rPr>
          <w:rFonts w:ascii="Times New Roman" w:hAnsi="Times New Roman" w:cs="Times New Roman"/>
          <w:sz w:val="18"/>
          <w:szCs w:val="18"/>
        </w:rPr>
        <w:t>stablecoin arrangements</w:t>
      </w:r>
      <w:r w:rsidR="002C1A07">
        <w:rPr>
          <w:rFonts w:ascii="Times New Roman" w:hAnsi="Times New Roman" w:cs="Times New Roman"/>
          <w:sz w:val="18"/>
          <w:szCs w:val="18"/>
        </w:rPr>
        <w:t xml:space="preserve"> in the absence of Congressional action on stablecoins</w:t>
      </w:r>
      <w:r w:rsidR="00A41FD2">
        <w:rPr>
          <w:rFonts w:ascii="Times New Roman" w:hAnsi="Times New Roman" w:cs="Times New Roman"/>
          <w:sz w:val="18"/>
          <w:szCs w:val="18"/>
        </w:rPr>
        <w:t>.</w:t>
      </w:r>
      <w:r w:rsidR="009E04E3">
        <w:rPr>
          <w:rFonts w:ascii="Times New Roman" w:hAnsi="Times New Roman" w:cs="Times New Roman"/>
          <w:sz w:val="18"/>
          <w:szCs w:val="18"/>
        </w:rPr>
        <w:t xml:space="preserve"> </w:t>
      </w:r>
      <w:r w:rsidR="009023FF">
        <w:rPr>
          <w:rFonts w:ascii="Times New Roman" w:hAnsi="Times New Roman" w:cs="Times New Roman"/>
          <w:sz w:val="18"/>
          <w:szCs w:val="18"/>
        </w:rPr>
        <w:t>President’s</w:t>
      </w:r>
      <w:r w:rsidR="009E04E3">
        <w:rPr>
          <w:rFonts w:ascii="Times New Roman" w:hAnsi="Times New Roman" w:cs="Times New Roman"/>
          <w:sz w:val="18"/>
          <w:szCs w:val="18"/>
        </w:rPr>
        <w:t xml:space="preserve"> Working Group on Financial Markets, the Federal Deposit Insurance Corporation, and the Office of the Comptroller of the Currency, Report on Stablecoins </w:t>
      </w:r>
      <w:r w:rsidR="0050066C">
        <w:rPr>
          <w:rFonts w:ascii="Times New Roman" w:hAnsi="Times New Roman" w:cs="Times New Roman"/>
          <w:sz w:val="18"/>
          <w:szCs w:val="18"/>
        </w:rPr>
        <w:t xml:space="preserve">18 </w:t>
      </w:r>
      <w:r w:rsidR="009E04E3">
        <w:rPr>
          <w:rFonts w:ascii="Times New Roman" w:hAnsi="Times New Roman" w:cs="Times New Roman"/>
          <w:sz w:val="18"/>
          <w:szCs w:val="18"/>
        </w:rPr>
        <w:t xml:space="preserve">(Nov. 2021), </w:t>
      </w:r>
      <w:r w:rsidR="00D43FA5" w:rsidRPr="00D43FA5">
        <w:rPr>
          <w:rFonts w:ascii="Times New Roman" w:hAnsi="Times New Roman" w:cs="Times New Roman"/>
          <w:sz w:val="18"/>
          <w:szCs w:val="18"/>
        </w:rPr>
        <w:t>https://home.treasury.gov/system/files/136/StableCoinReport_Nov1_508.pdf</w:t>
      </w:r>
      <w:r w:rsidR="00D43FA5">
        <w:rPr>
          <w:rFonts w:ascii="Times New Roman" w:hAnsi="Times New Roman" w:cs="Times New Roman"/>
          <w:sz w:val="18"/>
          <w:szCs w:val="18"/>
        </w:rPr>
        <w:t>.</w:t>
      </w:r>
    </w:p>
  </w:footnote>
  <w:footnote w:id="71">
    <w:p w14:paraId="317E7E77" w14:textId="2D1A2F66" w:rsidR="00055DE0" w:rsidRPr="00A918B4" w:rsidRDefault="00055DE0">
      <w:pPr>
        <w:pStyle w:val="FootnoteText"/>
        <w:rPr>
          <w:rFonts w:ascii="Times New Roman" w:hAnsi="Times New Roman" w:cs="Times New Roman"/>
          <w:sz w:val="18"/>
          <w:szCs w:val="18"/>
        </w:rPr>
      </w:pPr>
      <w:r w:rsidRPr="00A918B4">
        <w:rPr>
          <w:rStyle w:val="FootnoteReference"/>
          <w:rFonts w:ascii="Times New Roman" w:hAnsi="Times New Roman" w:cs="Times New Roman"/>
          <w:sz w:val="18"/>
          <w:szCs w:val="18"/>
        </w:rPr>
        <w:footnoteRef/>
      </w:r>
      <w:r w:rsidRPr="00A918B4">
        <w:rPr>
          <w:rFonts w:ascii="Times New Roman" w:hAnsi="Times New Roman" w:cs="Times New Roman"/>
          <w:sz w:val="18"/>
          <w:szCs w:val="18"/>
        </w:rPr>
        <w:t xml:space="preserve"> </w:t>
      </w:r>
      <w:r w:rsidR="009D238C" w:rsidRPr="00A918B4">
        <w:rPr>
          <w:rFonts w:ascii="Times New Roman" w:hAnsi="Times New Roman" w:cs="Times New Roman"/>
          <w:i/>
          <w:iCs/>
          <w:sz w:val="18"/>
          <w:szCs w:val="18"/>
        </w:rPr>
        <w:t xml:space="preserve">See supra </w:t>
      </w:r>
      <w:r w:rsidR="009D238C" w:rsidRPr="00A918B4">
        <w:rPr>
          <w:rFonts w:ascii="Times New Roman" w:hAnsi="Times New Roman" w:cs="Times New Roman"/>
          <w:sz w:val="18"/>
          <w:szCs w:val="18"/>
        </w:rPr>
        <w:t xml:space="preserve">note </w:t>
      </w:r>
      <w:r w:rsidR="0037775E">
        <w:rPr>
          <w:rFonts w:ascii="Times New Roman" w:hAnsi="Times New Roman" w:cs="Times New Roman"/>
          <w:sz w:val="18"/>
          <w:szCs w:val="18"/>
        </w:rPr>
        <w:t>31</w:t>
      </w:r>
      <w:r w:rsidR="009D238C" w:rsidRPr="00A918B4">
        <w:rPr>
          <w:rFonts w:ascii="Times New Roman" w:hAnsi="Times New Roman" w:cs="Times New Roman"/>
          <w:sz w:val="18"/>
          <w:szCs w:val="18"/>
        </w:rPr>
        <w:t xml:space="preserve"> and accompanying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0B78" w14:textId="21F7E859" w:rsidR="00D30B7E" w:rsidRPr="008B3D51" w:rsidRDefault="001F032D">
    <w:pPr>
      <w:pStyle w:val="Header"/>
      <w:rPr>
        <w:rFonts w:ascii="Times New Roman" w:hAnsi="Times New Roman" w:cs="Times New Roman"/>
        <w:color w:val="2F5496" w:themeColor="accent1" w:themeShade="BF"/>
        <w:sz w:val="18"/>
        <w:szCs w:val="18"/>
      </w:rPr>
    </w:pPr>
    <w:r w:rsidRPr="008B3D51">
      <w:rPr>
        <w:rFonts w:ascii="Times New Roman" w:hAnsi="Times New Roman" w:cs="Times New Roman"/>
        <w:i/>
        <w:iCs/>
        <w:color w:val="2F5496" w:themeColor="accent1" w:themeShade="BF"/>
        <w:sz w:val="18"/>
        <w:szCs w:val="18"/>
      </w:rPr>
      <w:t xml:space="preserve">Patomak Global Partners: </w:t>
    </w:r>
    <w:r w:rsidR="00CD69B8" w:rsidRPr="008B3D51">
      <w:rPr>
        <w:rFonts w:ascii="Times New Roman" w:hAnsi="Times New Roman" w:cs="Times New Roman"/>
        <w:i/>
        <w:iCs/>
        <w:color w:val="2F5496" w:themeColor="accent1" w:themeShade="BF"/>
        <w:sz w:val="18"/>
        <w:szCs w:val="18"/>
      </w:rPr>
      <w:t xml:space="preserve">Proposed FSOC Guidance Could </w:t>
    </w:r>
    <w:r w:rsidR="00925F69" w:rsidRPr="008B3D51">
      <w:rPr>
        <w:rFonts w:ascii="Times New Roman" w:hAnsi="Times New Roman" w:cs="Times New Roman"/>
        <w:i/>
        <w:iCs/>
        <w:color w:val="2F5496" w:themeColor="accent1" w:themeShade="BF"/>
        <w:sz w:val="18"/>
        <w:szCs w:val="18"/>
      </w:rPr>
      <w:t>Lead to</w:t>
    </w:r>
    <w:r w:rsidR="00CD69B8" w:rsidRPr="008B3D51">
      <w:rPr>
        <w:rFonts w:ascii="Times New Roman" w:hAnsi="Times New Roman" w:cs="Times New Roman"/>
        <w:i/>
        <w:iCs/>
        <w:color w:val="2F5496" w:themeColor="accent1" w:themeShade="BF"/>
        <w:sz w:val="18"/>
        <w:szCs w:val="18"/>
      </w:rPr>
      <w:t xml:space="preserve"> Bank-like Regulation for Asset Managers, </w:t>
    </w:r>
    <w:r w:rsidR="0016734C">
      <w:rPr>
        <w:rFonts w:ascii="Times New Roman" w:hAnsi="Times New Roman" w:cs="Times New Roman"/>
        <w:i/>
        <w:iCs/>
        <w:color w:val="2F5496" w:themeColor="accent1" w:themeShade="BF"/>
        <w:sz w:val="18"/>
        <w:szCs w:val="18"/>
      </w:rPr>
      <w:t xml:space="preserve">Private Funds, </w:t>
    </w:r>
    <w:r w:rsidR="00CD69B8" w:rsidRPr="008B3D51">
      <w:rPr>
        <w:rFonts w:ascii="Times New Roman" w:hAnsi="Times New Roman" w:cs="Times New Roman"/>
        <w:i/>
        <w:iCs/>
        <w:color w:val="2F5496" w:themeColor="accent1" w:themeShade="BF"/>
        <w:sz w:val="18"/>
        <w:szCs w:val="18"/>
      </w:rPr>
      <w:t xml:space="preserve">and Non-bank Mortgage Companies – as well as New Federal Regulatory Frameworks for </w:t>
    </w:r>
    <w:r w:rsidR="00BB2F33">
      <w:rPr>
        <w:rFonts w:ascii="Times New Roman" w:hAnsi="Times New Roman" w:cs="Times New Roman"/>
        <w:i/>
        <w:iCs/>
        <w:color w:val="2F5496" w:themeColor="accent1" w:themeShade="BF"/>
        <w:sz w:val="18"/>
        <w:szCs w:val="18"/>
      </w:rPr>
      <w:t>Digital Asset</w:t>
    </w:r>
    <w:r w:rsidR="00D60159">
      <w:rPr>
        <w:rFonts w:ascii="Times New Roman" w:hAnsi="Times New Roman" w:cs="Times New Roman"/>
        <w:i/>
        <w:iCs/>
        <w:color w:val="2F5496" w:themeColor="accent1" w:themeShade="BF"/>
        <w:sz w:val="18"/>
        <w:szCs w:val="18"/>
      </w:rPr>
      <w:t>s</w:t>
    </w:r>
    <w:r w:rsidR="00BB2F33">
      <w:rPr>
        <w:rFonts w:ascii="Times New Roman" w:hAnsi="Times New Roman" w:cs="Times New Roman"/>
        <w:i/>
        <w:iCs/>
        <w:color w:val="2F5496" w:themeColor="accent1" w:themeShade="BF"/>
        <w:sz w:val="18"/>
        <w:szCs w:val="18"/>
      </w:rPr>
      <w:t xml:space="preserve"> and </w:t>
    </w:r>
    <w:r w:rsidR="00CD69B8" w:rsidRPr="008B3D51">
      <w:rPr>
        <w:rFonts w:ascii="Times New Roman" w:hAnsi="Times New Roman" w:cs="Times New Roman"/>
        <w:i/>
        <w:iCs/>
        <w:color w:val="2F5496" w:themeColor="accent1" w:themeShade="BF"/>
        <w:sz w:val="18"/>
        <w:szCs w:val="18"/>
      </w:rPr>
      <w:t>Payment Activities</w:t>
    </w:r>
  </w:p>
  <w:p w14:paraId="52986C4F" w14:textId="77777777" w:rsidR="0038600F" w:rsidRPr="00B533DD" w:rsidRDefault="0038600F">
    <w:pPr>
      <w:pStyle w:val="Header"/>
      <w:rPr>
        <w:rFonts w:ascii="Times New Roman" w:hAnsi="Times New Roman" w:cs="Times New Roman"/>
        <w:i/>
        <w:iCs/>
        <w:color w:val="FF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5F9A" w14:textId="29C2E492" w:rsidR="0022106B" w:rsidRDefault="00547123" w:rsidP="000E1620">
    <w:pPr>
      <w:pStyle w:val="Header"/>
      <w:jc w:val="center"/>
    </w:pPr>
    <w:r>
      <w:rPr>
        <w:noProof/>
      </w:rPr>
      <w:drawing>
        <wp:inline distT="0" distB="0" distL="0" distR="0" wp14:anchorId="34C76CF0" wp14:editId="09B705A9">
          <wp:extent cx="4309450" cy="580118"/>
          <wp:effectExtent l="0" t="0" r="0" b="0"/>
          <wp:docPr id="17" name="Picture 17" descr="head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4096" cy="584782"/>
                  </a:xfrm>
                  <a:prstGeom prst="rect">
                    <a:avLst/>
                  </a:prstGeom>
                  <a:noFill/>
                  <a:ln>
                    <a:noFill/>
                  </a:ln>
                </pic:spPr>
              </pic:pic>
            </a:graphicData>
          </a:graphic>
        </wp:inline>
      </w:drawing>
    </w:r>
  </w:p>
  <w:p w14:paraId="338E8FC9" w14:textId="77777777" w:rsidR="0022106B" w:rsidRDefault="0022106B" w:rsidP="00B533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37C1"/>
    <w:multiLevelType w:val="multilevel"/>
    <w:tmpl w:val="637AC3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703066"/>
    <w:multiLevelType w:val="hybridMultilevel"/>
    <w:tmpl w:val="F166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711F"/>
    <w:multiLevelType w:val="multilevel"/>
    <w:tmpl w:val="E8E889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CC3E08"/>
    <w:multiLevelType w:val="hybridMultilevel"/>
    <w:tmpl w:val="4E50D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5271705">
    <w:abstractNumId w:val="3"/>
  </w:num>
  <w:num w:numId="2" w16cid:durableId="5425219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497429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5139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6A"/>
    <w:rsid w:val="000011EC"/>
    <w:rsid w:val="00001503"/>
    <w:rsid w:val="00001BAF"/>
    <w:rsid w:val="0000579C"/>
    <w:rsid w:val="000108CD"/>
    <w:rsid w:val="0001150B"/>
    <w:rsid w:val="000143B7"/>
    <w:rsid w:val="0001487A"/>
    <w:rsid w:val="00015101"/>
    <w:rsid w:val="0001616C"/>
    <w:rsid w:val="000162C1"/>
    <w:rsid w:val="0002009E"/>
    <w:rsid w:val="0002279A"/>
    <w:rsid w:val="0002369F"/>
    <w:rsid w:val="00024B14"/>
    <w:rsid w:val="000258F2"/>
    <w:rsid w:val="00032AFC"/>
    <w:rsid w:val="00032E15"/>
    <w:rsid w:val="000330E3"/>
    <w:rsid w:val="00035049"/>
    <w:rsid w:val="00035F37"/>
    <w:rsid w:val="000404EF"/>
    <w:rsid w:val="00042DD4"/>
    <w:rsid w:val="000459F9"/>
    <w:rsid w:val="00050033"/>
    <w:rsid w:val="00050E37"/>
    <w:rsid w:val="00051243"/>
    <w:rsid w:val="0005429D"/>
    <w:rsid w:val="00055B62"/>
    <w:rsid w:val="00055DE0"/>
    <w:rsid w:val="0006313B"/>
    <w:rsid w:val="0006365F"/>
    <w:rsid w:val="0006385E"/>
    <w:rsid w:val="0006493C"/>
    <w:rsid w:val="00065C28"/>
    <w:rsid w:val="00071015"/>
    <w:rsid w:val="00072E09"/>
    <w:rsid w:val="00075715"/>
    <w:rsid w:val="000776AA"/>
    <w:rsid w:val="00081207"/>
    <w:rsid w:val="00081924"/>
    <w:rsid w:val="000848FD"/>
    <w:rsid w:val="0008670D"/>
    <w:rsid w:val="0009106E"/>
    <w:rsid w:val="00091B72"/>
    <w:rsid w:val="0009300B"/>
    <w:rsid w:val="000942A1"/>
    <w:rsid w:val="00095939"/>
    <w:rsid w:val="000A0444"/>
    <w:rsid w:val="000A0F69"/>
    <w:rsid w:val="000A14C7"/>
    <w:rsid w:val="000A23EA"/>
    <w:rsid w:val="000A2A6C"/>
    <w:rsid w:val="000A59B8"/>
    <w:rsid w:val="000A5E54"/>
    <w:rsid w:val="000A6F15"/>
    <w:rsid w:val="000A7A17"/>
    <w:rsid w:val="000B0418"/>
    <w:rsid w:val="000B0BAB"/>
    <w:rsid w:val="000B0BF2"/>
    <w:rsid w:val="000B18D3"/>
    <w:rsid w:val="000B2253"/>
    <w:rsid w:val="000B29E9"/>
    <w:rsid w:val="000B79A0"/>
    <w:rsid w:val="000C23EE"/>
    <w:rsid w:val="000C29B6"/>
    <w:rsid w:val="000C2EFD"/>
    <w:rsid w:val="000C569C"/>
    <w:rsid w:val="000C7573"/>
    <w:rsid w:val="000C7F1F"/>
    <w:rsid w:val="000D4883"/>
    <w:rsid w:val="000D5E7F"/>
    <w:rsid w:val="000D6A59"/>
    <w:rsid w:val="000E01BA"/>
    <w:rsid w:val="000E11EF"/>
    <w:rsid w:val="000E1620"/>
    <w:rsid w:val="000E400F"/>
    <w:rsid w:val="000E45D6"/>
    <w:rsid w:val="000E487F"/>
    <w:rsid w:val="000E4B54"/>
    <w:rsid w:val="000F041C"/>
    <w:rsid w:val="000F0CB5"/>
    <w:rsid w:val="000F0DAE"/>
    <w:rsid w:val="000F2103"/>
    <w:rsid w:val="000F2576"/>
    <w:rsid w:val="000F328C"/>
    <w:rsid w:val="000F3AC7"/>
    <w:rsid w:val="000F3E58"/>
    <w:rsid w:val="000F4EE5"/>
    <w:rsid w:val="000F512C"/>
    <w:rsid w:val="000F5425"/>
    <w:rsid w:val="000F633D"/>
    <w:rsid w:val="000F6EEB"/>
    <w:rsid w:val="001024B1"/>
    <w:rsid w:val="00102F75"/>
    <w:rsid w:val="00103F07"/>
    <w:rsid w:val="00104093"/>
    <w:rsid w:val="00104249"/>
    <w:rsid w:val="0010538D"/>
    <w:rsid w:val="00107EA9"/>
    <w:rsid w:val="0011219A"/>
    <w:rsid w:val="001134E5"/>
    <w:rsid w:val="00113519"/>
    <w:rsid w:val="001139B8"/>
    <w:rsid w:val="00115E40"/>
    <w:rsid w:val="00116132"/>
    <w:rsid w:val="00117156"/>
    <w:rsid w:val="0012059E"/>
    <w:rsid w:val="0012295D"/>
    <w:rsid w:val="001251B0"/>
    <w:rsid w:val="001265A7"/>
    <w:rsid w:val="00126884"/>
    <w:rsid w:val="00127300"/>
    <w:rsid w:val="0012777D"/>
    <w:rsid w:val="001339A2"/>
    <w:rsid w:val="00134C52"/>
    <w:rsid w:val="00134D10"/>
    <w:rsid w:val="0013633E"/>
    <w:rsid w:val="00137B8D"/>
    <w:rsid w:val="00140AC7"/>
    <w:rsid w:val="00140C4E"/>
    <w:rsid w:val="00140D09"/>
    <w:rsid w:val="001411E2"/>
    <w:rsid w:val="0014355E"/>
    <w:rsid w:val="00144B83"/>
    <w:rsid w:val="0014520B"/>
    <w:rsid w:val="00145B75"/>
    <w:rsid w:val="00146697"/>
    <w:rsid w:val="001467B1"/>
    <w:rsid w:val="0015310F"/>
    <w:rsid w:val="0015373C"/>
    <w:rsid w:val="00154F17"/>
    <w:rsid w:val="00155039"/>
    <w:rsid w:val="00155216"/>
    <w:rsid w:val="001555FB"/>
    <w:rsid w:val="00156177"/>
    <w:rsid w:val="00156AE8"/>
    <w:rsid w:val="00156CD6"/>
    <w:rsid w:val="00160776"/>
    <w:rsid w:val="001627D0"/>
    <w:rsid w:val="0016379D"/>
    <w:rsid w:val="001643A2"/>
    <w:rsid w:val="001647CB"/>
    <w:rsid w:val="00165C97"/>
    <w:rsid w:val="00166CB6"/>
    <w:rsid w:val="0016734C"/>
    <w:rsid w:val="00173230"/>
    <w:rsid w:val="0017555B"/>
    <w:rsid w:val="0017593F"/>
    <w:rsid w:val="00175B1A"/>
    <w:rsid w:val="00176594"/>
    <w:rsid w:val="00180C00"/>
    <w:rsid w:val="0018164E"/>
    <w:rsid w:val="00183517"/>
    <w:rsid w:val="00183D98"/>
    <w:rsid w:val="00185DE2"/>
    <w:rsid w:val="001917E6"/>
    <w:rsid w:val="00191EAF"/>
    <w:rsid w:val="00194C56"/>
    <w:rsid w:val="001A08D2"/>
    <w:rsid w:val="001A0BE2"/>
    <w:rsid w:val="001A1658"/>
    <w:rsid w:val="001A16CC"/>
    <w:rsid w:val="001A1DB5"/>
    <w:rsid w:val="001A2822"/>
    <w:rsid w:val="001A4897"/>
    <w:rsid w:val="001A48ED"/>
    <w:rsid w:val="001A5CCE"/>
    <w:rsid w:val="001A6819"/>
    <w:rsid w:val="001A6BB6"/>
    <w:rsid w:val="001A79D8"/>
    <w:rsid w:val="001B0721"/>
    <w:rsid w:val="001B0971"/>
    <w:rsid w:val="001B1737"/>
    <w:rsid w:val="001C126E"/>
    <w:rsid w:val="001C50B2"/>
    <w:rsid w:val="001D2527"/>
    <w:rsid w:val="001D359F"/>
    <w:rsid w:val="001D4029"/>
    <w:rsid w:val="001D568B"/>
    <w:rsid w:val="001D7E1B"/>
    <w:rsid w:val="001E048D"/>
    <w:rsid w:val="001E3C78"/>
    <w:rsid w:val="001E406E"/>
    <w:rsid w:val="001E5789"/>
    <w:rsid w:val="001E7FCA"/>
    <w:rsid w:val="001F0315"/>
    <w:rsid w:val="001F032D"/>
    <w:rsid w:val="001F755E"/>
    <w:rsid w:val="002007B6"/>
    <w:rsid w:val="002043A3"/>
    <w:rsid w:val="00204F2A"/>
    <w:rsid w:val="00206937"/>
    <w:rsid w:val="00210CF5"/>
    <w:rsid w:val="0021164E"/>
    <w:rsid w:val="002141AE"/>
    <w:rsid w:val="00214D9C"/>
    <w:rsid w:val="0021599E"/>
    <w:rsid w:val="0021666A"/>
    <w:rsid w:val="0022106B"/>
    <w:rsid w:val="00224347"/>
    <w:rsid w:val="00224449"/>
    <w:rsid w:val="002258F3"/>
    <w:rsid w:val="00226503"/>
    <w:rsid w:val="00231D37"/>
    <w:rsid w:val="00231ED3"/>
    <w:rsid w:val="00232CE8"/>
    <w:rsid w:val="00235B25"/>
    <w:rsid w:val="00240A4B"/>
    <w:rsid w:val="002411B5"/>
    <w:rsid w:val="0024329C"/>
    <w:rsid w:val="00244511"/>
    <w:rsid w:val="00245A82"/>
    <w:rsid w:val="00246C15"/>
    <w:rsid w:val="00247A35"/>
    <w:rsid w:val="00247E1A"/>
    <w:rsid w:val="00254399"/>
    <w:rsid w:val="00255635"/>
    <w:rsid w:val="0025579D"/>
    <w:rsid w:val="0025703E"/>
    <w:rsid w:val="00257CDC"/>
    <w:rsid w:val="00262774"/>
    <w:rsid w:val="00263763"/>
    <w:rsid w:val="00263C00"/>
    <w:rsid w:val="00265D57"/>
    <w:rsid w:val="00266CD6"/>
    <w:rsid w:val="00267777"/>
    <w:rsid w:val="002726C9"/>
    <w:rsid w:val="002804C9"/>
    <w:rsid w:val="0028109C"/>
    <w:rsid w:val="00281A8C"/>
    <w:rsid w:val="00283622"/>
    <w:rsid w:val="002866AF"/>
    <w:rsid w:val="00286C9F"/>
    <w:rsid w:val="00290F5B"/>
    <w:rsid w:val="002916F2"/>
    <w:rsid w:val="00292494"/>
    <w:rsid w:val="00292C77"/>
    <w:rsid w:val="002933C6"/>
    <w:rsid w:val="00297AFE"/>
    <w:rsid w:val="00297B04"/>
    <w:rsid w:val="00297B7A"/>
    <w:rsid w:val="002A06E1"/>
    <w:rsid w:val="002A2ABB"/>
    <w:rsid w:val="002A30A7"/>
    <w:rsid w:val="002A62EB"/>
    <w:rsid w:val="002A7A25"/>
    <w:rsid w:val="002A7D98"/>
    <w:rsid w:val="002B04A3"/>
    <w:rsid w:val="002B0EDA"/>
    <w:rsid w:val="002B4AE3"/>
    <w:rsid w:val="002B7182"/>
    <w:rsid w:val="002B7575"/>
    <w:rsid w:val="002C1A07"/>
    <w:rsid w:val="002C30AD"/>
    <w:rsid w:val="002C3EC6"/>
    <w:rsid w:val="002C439D"/>
    <w:rsid w:val="002C4454"/>
    <w:rsid w:val="002C4AE7"/>
    <w:rsid w:val="002C5C8C"/>
    <w:rsid w:val="002C6F50"/>
    <w:rsid w:val="002D0F07"/>
    <w:rsid w:val="002D2112"/>
    <w:rsid w:val="002D297B"/>
    <w:rsid w:val="002D2EE0"/>
    <w:rsid w:val="002D4021"/>
    <w:rsid w:val="002D4248"/>
    <w:rsid w:val="002D4843"/>
    <w:rsid w:val="002D5469"/>
    <w:rsid w:val="002D6883"/>
    <w:rsid w:val="002D69A0"/>
    <w:rsid w:val="002D73E0"/>
    <w:rsid w:val="002D7737"/>
    <w:rsid w:val="002E5395"/>
    <w:rsid w:val="002E5BED"/>
    <w:rsid w:val="002E654C"/>
    <w:rsid w:val="002E68A6"/>
    <w:rsid w:val="002E6ABF"/>
    <w:rsid w:val="002F15ED"/>
    <w:rsid w:val="002F71AB"/>
    <w:rsid w:val="00300518"/>
    <w:rsid w:val="00302612"/>
    <w:rsid w:val="00303B6E"/>
    <w:rsid w:val="00304624"/>
    <w:rsid w:val="00304735"/>
    <w:rsid w:val="00306390"/>
    <w:rsid w:val="0030642E"/>
    <w:rsid w:val="00306E91"/>
    <w:rsid w:val="00307693"/>
    <w:rsid w:val="00312BBD"/>
    <w:rsid w:val="00312F06"/>
    <w:rsid w:val="00313513"/>
    <w:rsid w:val="0031470A"/>
    <w:rsid w:val="00314A1B"/>
    <w:rsid w:val="00314E09"/>
    <w:rsid w:val="003170D3"/>
    <w:rsid w:val="0031794E"/>
    <w:rsid w:val="003203F3"/>
    <w:rsid w:val="00321369"/>
    <w:rsid w:val="00322667"/>
    <w:rsid w:val="00322C58"/>
    <w:rsid w:val="00322DFA"/>
    <w:rsid w:val="003253C4"/>
    <w:rsid w:val="0033246E"/>
    <w:rsid w:val="00332813"/>
    <w:rsid w:val="00334CF8"/>
    <w:rsid w:val="0033523C"/>
    <w:rsid w:val="003355EF"/>
    <w:rsid w:val="003402E0"/>
    <w:rsid w:val="00340DAF"/>
    <w:rsid w:val="003428AB"/>
    <w:rsid w:val="00343D28"/>
    <w:rsid w:val="00344A77"/>
    <w:rsid w:val="0034692E"/>
    <w:rsid w:val="00347443"/>
    <w:rsid w:val="003475F4"/>
    <w:rsid w:val="00347FB5"/>
    <w:rsid w:val="00350A4E"/>
    <w:rsid w:val="00350E5D"/>
    <w:rsid w:val="00351846"/>
    <w:rsid w:val="0035193F"/>
    <w:rsid w:val="00352D0D"/>
    <w:rsid w:val="00353FBF"/>
    <w:rsid w:val="00357C7E"/>
    <w:rsid w:val="00360691"/>
    <w:rsid w:val="00361E96"/>
    <w:rsid w:val="00361FD6"/>
    <w:rsid w:val="00362ADF"/>
    <w:rsid w:val="003668E6"/>
    <w:rsid w:val="00366B6D"/>
    <w:rsid w:val="0036774A"/>
    <w:rsid w:val="00370AD9"/>
    <w:rsid w:val="00371282"/>
    <w:rsid w:val="003712CB"/>
    <w:rsid w:val="00371557"/>
    <w:rsid w:val="003725F8"/>
    <w:rsid w:val="0037775E"/>
    <w:rsid w:val="00382642"/>
    <w:rsid w:val="0038333F"/>
    <w:rsid w:val="00385480"/>
    <w:rsid w:val="00385965"/>
    <w:rsid w:val="0038600F"/>
    <w:rsid w:val="00387011"/>
    <w:rsid w:val="003900EA"/>
    <w:rsid w:val="00390457"/>
    <w:rsid w:val="0039252A"/>
    <w:rsid w:val="00393A39"/>
    <w:rsid w:val="00394271"/>
    <w:rsid w:val="00395448"/>
    <w:rsid w:val="00396340"/>
    <w:rsid w:val="00396F1E"/>
    <w:rsid w:val="003A0F6B"/>
    <w:rsid w:val="003A2B1A"/>
    <w:rsid w:val="003A4027"/>
    <w:rsid w:val="003A6095"/>
    <w:rsid w:val="003A6CC4"/>
    <w:rsid w:val="003B2526"/>
    <w:rsid w:val="003B2936"/>
    <w:rsid w:val="003B2DC4"/>
    <w:rsid w:val="003B5289"/>
    <w:rsid w:val="003B7045"/>
    <w:rsid w:val="003B710E"/>
    <w:rsid w:val="003C0A15"/>
    <w:rsid w:val="003C0A21"/>
    <w:rsid w:val="003C1562"/>
    <w:rsid w:val="003C1F7D"/>
    <w:rsid w:val="003C52D2"/>
    <w:rsid w:val="003C6191"/>
    <w:rsid w:val="003C7B53"/>
    <w:rsid w:val="003D0F34"/>
    <w:rsid w:val="003D10B9"/>
    <w:rsid w:val="003D11EE"/>
    <w:rsid w:val="003D1872"/>
    <w:rsid w:val="003D260F"/>
    <w:rsid w:val="003D276B"/>
    <w:rsid w:val="003D3105"/>
    <w:rsid w:val="003D434B"/>
    <w:rsid w:val="003E139C"/>
    <w:rsid w:val="003E21EC"/>
    <w:rsid w:val="003E2B7C"/>
    <w:rsid w:val="003E35C5"/>
    <w:rsid w:val="003E3A5A"/>
    <w:rsid w:val="003F0EA7"/>
    <w:rsid w:val="003F1A90"/>
    <w:rsid w:val="003F1AFA"/>
    <w:rsid w:val="003F2559"/>
    <w:rsid w:val="003F29C0"/>
    <w:rsid w:val="003F2C35"/>
    <w:rsid w:val="003F38CB"/>
    <w:rsid w:val="003F45A9"/>
    <w:rsid w:val="003F5F50"/>
    <w:rsid w:val="003F5F7A"/>
    <w:rsid w:val="003F72B1"/>
    <w:rsid w:val="004005AA"/>
    <w:rsid w:val="004012B4"/>
    <w:rsid w:val="00403889"/>
    <w:rsid w:val="00404725"/>
    <w:rsid w:val="004068B2"/>
    <w:rsid w:val="00407A11"/>
    <w:rsid w:val="00411E17"/>
    <w:rsid w:val="00412438"/>
    <w:rsid w:val="00412A0F"/>
    <w:rsid w:val="00412FF0"/>
    <w:rsid w:val="00415489"/>
    <w:rsid w:val="004155F5"/>
    <w:rsid w:val="00415ED5"/>
    <w:rsid w:val="004172EA"/>
    <w:rsid w:val="004178DB"/>
    <w:rsid w:val="00417902"/>
    <w:rsid w:val="00417B1C"/>
    <w:rsid w:val="00420E55"/>
    <w:rsid w:val="00423FB7"/>
    <w:rsid w:val="004260FF"/>
    <w:rsid w:val="00426327"/>
    <w:rsid w:val="00426CEA"/>
    <w:rsid w:val="00427494"/>
    <w:rsid w:val="00432863"/>
    <w:rsid w:val="0043411D"/>
    <w:rsid w:val="00435D40"/>
    <w:rsid w:val="00436342"/>
    <w:rsid w:val="00436862"/>
    <w:rsid w:val="004371B2"/>
    <w:rsid w:val="0043732A"/>
    <w:rsid w:val="00437BB8"/>
    <w:rsid w:val="00442451"/>
    <w:rsid w:val="00442E85"/>
    <w:rsid w:val="00443B07"/>
    <w:rsid w:val="004468F9"/>
    <w:rsid w:val="00446E17"/>
    <w:rsid w:val="00451CC1"/>
    <w:rsid w:val="00452E51"/>
    <w:rsid w:val="00452FEF"/>
    <w:rsid w:val="00453913"/>
    <w:rsid w:val="004551F7"/>
    <w:rsid w:val="00456F68"/>
    <w:rsid w:val="00460BA6"/>
    <w:rsid w:val="00462E55"/>
    <w:rsid w:val="00463209"/>
    <w:rsid w:val="00463C94"/>
    <w:rsid w:val="00463DAB"/>
    <w:rsid w:val="004644C3"/>
    <w:rsid w:val="0046498C"/>
    <w:rsid w:val="0046589D"/>
    <w:rsid w:val="00466D66"/>
    <w:rsid w:val="0047060A"/>
    <w:rsid w:val="00471547"/>
    <w:rsid w:val="00471632"/>
    <w:rsid w:val="00474709"/>
    <w:rsid w:val="00480E64"/>
    <w:rsid w:val="004820BE"/>
    <w:rsid w:val="004827A3"/>
    <w:rsid w:val="00484A31"/>
    <w:rsid w:val="0049061D"/>
    <w:rsid w:val="00492F24"/>
    <w:rsid w:val="00494D0C"/>
    <w:rsid w:val="004954A7"/>
    <w:rsid w:val="00497EE3"/>
    <w:rsid w:val="004A2663"/>
    <w:rsid w:val="004A26EB"/>
    <w:rsid w:val="004A3CCD"/>
    <w:rsid w:val="004A3CD3"/>
    <w:rsid w:val="004A5A58"/>
    <w:rsid w:val="004A6221"/>
    <w:rsid w:val="004A64E3"/>
    <w:rsid w:val="004A7A0C"/>
    <w:rsid w:val="004B0AB0"/>
    <w:rsid w:val="004B3E81"/>
    <w:rsid w:val="004B56D0"/>
    <w:rsid w:val="004B667C"/>
    <w:rsid w:val="004B66A7"/>
    <w:rsid w:val="004B790B"/>
    <w:rsid w:val="004B7AC4"/>
    <w:rsid w:val="004C3DB5"/>
    <w:rsid w:val="004C4246"/>
    <w:rsid w:val="004C5266"/>
    <w:rsid w:val="004C56F0"/>
    <w:rsid w:val="004C5A50"/>
    <w:rsid w:val="004C5C15"/>
    <w:rsid w:val="004C6AD5"/>
    <w:rsid w:val="004D0255"/>
    <w:rsid w:val="004D28A8"/>
    <w:rsid w:val="004D2FD4"/>
    <w:rsid w:val="004D3227"/>
    <w:rsid w:val="004D3E52"/>
    <w:rsid w:val="004D4EAE"/>
    <w:rsid w:val="004D5CDE"/>
    <w:rsid w:val="004E0248"/>
    <w:rsid w:val="004E0DCE"/>
    <w:rsid w:val="004E21B2"/>
    <w:rsid w:val="004E38A5"/>
    <w:rsid w:val="004E45B4"/>
    <w:rsid w:val="004E472A"/>
    <w:rsid w:val="004E4E7B"/>
    <w:rsid w:val="004F0BD9"/>
    <w:rsid w:val="004F1517"/>
    <w:rsid w:val="004F1A73"/>
    <w:rsid w:val="004F23F6"/>
    <w:rsid w:val="004F433D"/>
    <w:rsid w:val="004F4897"/>
    <w:rsid w:val="004F6A46"/>
    <w:rsid w:val="004F731F"/>
    <w:rsid w:val="004F7B53"/>
    <w:rsid w:val="004F7E23"/>
    <w:rsid w:val="0050066C"/>
    <w:rsid w:val="00500BEC"/>
    <w:rsid w:val="00500E84"/>
    <w:rsid w:val="00501056"/>
    <w:rsid w:val="005034F1"/>
    <w:rsid w:val="005066A3"/>
    <w:rsid w:val="00506C19"/>
    <w:rsid w:val="005107D5"/>
    <w:rsid w:val="005111FB"/>
    <w:rsid w:val="00515745"/>
    <w:rsid w:val="00516584"/>
    <w:rsid w:val="00521967"/>
    <w:rsid w:val="00521CA2"/>
    <w:rsid w:val="00524F92"/>
    <w:rsid w:val="0052518E"/>
    <w:rsid w:val="005259B5"/>
    <w:rsid w:val="00526AE9"/>
    <w:rsid w:val="005279DC"/>
    <w:rsid w:val="005306A8"/>
    <w:rsid w:val="00531BD2"/>
    <w:rsid w:val="00531E59"/>
    <w:rsid w:val="00533D13"/>
    <w:rsid w:val="00534049"/>
    <w:rsid w:val="00535E20"/>
    <w:rsid w:val="00535FC6"/>
    <w:rsid w:val="00536EE0"/>
    <w:rsid w:val="00540509"/>
    <w:rsid w:val="00542410"/>
    <w:rsid w:val="00545055"/>
    <w:rsid w:val="00547123"/>
    <w:rsid w:val="00552261"/>
    <w:rsid w:val="00552455"/>
    <w:rsid w:val="00552838"/>
    <w:rsid w:val="00554482"/>
    <w:rsid w:val="00554CA9"/>
    <w:rsid w:val="00555C8A"/>
    <w:rsid w:val="0056046E"/>
    <w:rsid w:val="00563208"/>
    <w:rsid w:val="00566803"/>
    <w:rsid w:val="00566AC4"/>
    <w:rsid w:val="00566E55"/>
    <w:rsid w:val="00567258"/>
    <w:rsid w:val="005717A3"/>
    <w:rsid w:val="005738EC"/>
    <w:rsid w:val="00573B23"/>
    <w:rsid w:val="005750E4"/>
    <w:rsid w:val="0057749A"/>
    <w:rsid w:val="005816CC"/>
    <w:rsid w:val="00586798"/>
    <w:rsid w:val="00593A18"/>
    <w:rsid w:val="005948A9"/>
    <w:rsid w:val="005954E6"/>
    <w:rsid w:val="005972C9"/>
    <w:rsid w:val="005A07E7"/>
    <w:rsid w:val="005A27BF"/>
    <w:rsid w:val="005A40BA"/>
    <w:rsid w:val="005A45CF"/>
    <w:rsid w:val="005A4A74"/>
    <w:rsid w:val="005A5A84"/>
    <w:rsid w:val="005A6ABB"/>
    <w:rsid w:val="005B09F0"/>
    <w:rsid w:val="005B228C"/>
    <w:rsid w:val="005B33A5"/>
    <w:rsid w:val="005B3BBB"/>
    <w:rsid w:val="005B435A"/>
    <w:rsid w:val="005B4A98"/>
    <w:rsid w:val="005B5DFF"/>
    <w:rsid w:val="005B6258"/>
    <w:rsid w:val="005C276A"/>
    <w:rsid w:val="005C2B9F"/>
    <w:rsid w:val="005C2DD3"/>
    <w:rsid w:val="005C769F"/>
    <w:rsid w:val="005D03C5"/>
    <w:rsid w:val="005D1973"/>
    <w:rsid w:val="005D47E0"/>
    <w:rsid w:val="005E040B"/>
    <w:rsid w:val="005E14F4"/>
    <w:rsid w:val="005E2B3B"/>
    <w:rsid w:val="005E2B7A"/>
    <w:rsid w:val="005E2EC6"/>
    <w:rsid w:val="005E6E30"/>
    <w:rsid w:val="005F1A45"/>
    <w:rsid w:val="005F3CFA"/>
    <w:rsid w:val="005F56DB"/>
    <w:rsid w:val="005F6FF8"/>
    <w:rsid w:val="006006B8"/>
    <w:rsid w:val="00602542"/>
    <w:rsid w:val="00602BC9"/>
    <w:rsid w:val="006034F4"/>
    <w:rsid w:val="006057CF"/>
    <w:rsid w:val="00605A9D"/>
    <w:rsid w:val="00611B83"/>
    <w:rsid w:val="0061300B"/>
    <w:rsid w:val="00613217"/>
    <w:rsid w:val="006136DF"/>
    <w:rsid w:val="00613B16"/>
    <w:rsid w:val="00613D77"/>
    <w:rsid w:val="006152E0"/>
    <w:rsid w:val="00615406"/>
    <w:rsid w:val="00615D18"/>
    <w:rsid w:val="00616CD1"/>
    <w:rsid w:val="00621984"/>
    <w:rsid w:val="006222A9"/>
    <w:rsid w:val="00622375"/>
    <w:rsid w:val="0062484A"/>
    <w:rsid w:val="0062562D"/>
    <w:rsid w:val="00625970"/>
    <w:rsid w:val="006265DB"/>
    <w:rsid w:val="00626AA9"/>
    <w:rsid w:val="0062716A"/>
    <w:rsid w:val="00631547"/>
    <w:rsid w:val="00632961"/>
    <w:rsid w:val="006333A4"/>
    <w:rsid w:val="0063402E"/>
    <w:rsid w:val="00634EEA"/>
    <w:rsid w:val="00635579"/>
    <w:rsid w:val="00635E5D"/>
    <w:rsid w:val="00636AD6"/>
    <w:rsid w:val="00637998"/>
    <w:rsid w:val="0064059E"/>
    <w:rsid w:val="00644D33"/>
    <w:rsid w:val="00646830"/>
    <w:rsid w:val="00651525"/>
    <w:rsid w:val="006518DD"/>
    <w:rsid w:val="0065397D"/>
    <w:rsid w:val="00655080"/>
    <w:rsid w:val="006554F1"/>
    <w:rsid w:val="0065706A"/>
    <w:rsid w:val="00660B88"/>
    <w:rsid w:val="0066267B"/>
    <w:rsid w:val="006627AD"/>
    <w:rsid w:val="00663984"/>
    <w:rsid w:val="0066406C"/>
    <w:rsid w:val="00664097"/>
    <w:rsid w:val="00664E2C"/>
    <w:rsid w:val="00664F8D"/>
    <w:rsid w:val="00665548"/>
    <w:rsid w:val="00666973"/>
    <w:rsid w:val="00667187"/>
    <w:rsid w:val="006677C2"/>
    <w:rsid w:val="006702EF"/>
    <w:rsid w:val="00672234"/>
    <w:rsid w:val="00672874"/>
    <w:rsid w:val="00672B8A"/>
    <w:rsid w:val="006765CE"/>
    <w:rsid w:val="00681073"/>
    <w:rsid w:val="00682117"/>
    <w:rsid w:val="00682151"/>
    <w:rsid w:val="00682590"/>
    <w:rsid w:val="006827AE"/>
    <w:rsid w:val="006832B7"/>
    <w:rsid w:val="00683A9F"/>
    <w:rsid w:val="00684F96"/>
    <w:rsid w:val="00685CE6"/>
    <w:rsid w:val="00691B05"/>
    <w:rsid w:val="00691E0F"/>
    <w:rsid w:val="0069456F"/>
    <w:rsid w:val="0069593B"/>
    <w:rsid w:val="00696086"/>
    <w:rsid w:val="006A09AF"/>
    <w:rsid w:val="006A1522"/>
    <w:rsid w:val="006A1FE7"/>
    <w:rsid w:val="006A2659"/>
    <w:rsid w:val="006A2783"/>
    <w:rsid w:val="006A501C"/>
    <w:rsid w:val="006A61A5"/>
    <w:rsid w:val="006A796E"/>
    <w:rsid w:val="006A7CDE"/>
    <w:rsid w:val="006A7F2D"/>
    <w:rsid w:val="006B1701"/>
    <w:rsid w:val="006B1728"/>
    <w:rsid w:val="006B2E0B"/>
    <w:rsid w:val="006C004A"/>
    <w:rsid w:val="006C400B"/>
    <w:rsid w:val="006C460E"/>
    <w:rsid w:val="006C5C7D"/>
    <w:rsid w:val="006C652D"/>
    <w:rsid w:val="006D03BB"/>
    <w:rsid w:val="006D1B64"/>
    <w:rsid w:val="006D4B0F"/>
    <w:rsid w:val="006D6DB7"/>
    <w:rsid w:val="006E1A89"/>
    <w:rsid w:val="006E3FE4"/>
    <w:rsid w:val="006E482F"/>
    <w:rsid w:val="006E5E21"/>
    <w:rsid w:val="006E5EA7"/>
    <w:rsid w:val="006E7AA3"/>
    <w:rsid w:val="006E7AAE"/>
    <w:rsid w:val="006F0FCC"/>
    <w:rsid w:val="006F115E"/>
    <w:rsid w:val="006F586C"/>
    <w:rsid w:val="006F5908"/>
    <w:rsid w:val="006F7575"/>
    <w:rsid w:val="007001BC"/>
    <w:rsid w:val="00702C1B"/>
    <w:rsid w:val="00703C15"/>
    <w:rsid w:val="00704BA9"/>
    <w:rsid w:val="00707168"/>
    <w:rsid w:val="007072CC"/>
    <w:rsid w:val="007119A8"/>
    <w:rsid w:val="007120DB"/>
    <w:rsid w:val="00712899"/>
    <w:rsid w:val="00717948"/>
    <w:rsid w:val="00721944"/>
    <w:rsid w:val="00721AB3"/>
    <w:rsid w:val="007234E2"/>
    <w:rsid w:val="00723950"/>
    <w:rsid w:val="00724861"/>
    <w:rsid w:val="00725E47"/>
    <w:rsid w:val="00726F7F"/>
    <w:rsid w:val="007303F7"/>
    <w:rsid w:val="007307AC"/>
    <w:rsid w:val="007310C0"/>
    <w:rsid w:val="00731336"/>
    <w:rsid w:val="00731E04"/>
    <w:rsid w:val="00731E90"/>
    <w:rsid w:val="00733777"/>
    <w:rsid w:val="00733BEB"/>
    <w:rsid w:val="00734FBB"/>
    <w:rsid w:val="00734FFA"/>
    <w:rsid w:val="00736482"/>
    <w:rsid w:val="00736761"/>
    <w:rsid w:val="00742316"/>
    <w:rsid w:val="007446B4"/>
    <w:rsid w:val="0074610F"/>
    <w:rsid w:val="007511ED"/>
    <w:rsid w:val="007521C3"/>
    <w:rsid w:val="00752D09"/>
    <w:rsid w:val="0075405C"/>
    <w:rsid w:val="007540C5"/>
    <w:rsid w:val="0075768D"/>
    <w:rsid w:val="007605C7"/>
    <w:rsid w:val="00762C7A"/>
    <w:rsid w:val="00762D9C"/>
    <w:rsid w:val="00762F18"/>
    <w:rsid w:val="007632FC"/>
    <w:rsid w:val="00763F31"/>
    <w:rsid w:val="00764975"/>
    <w:rsid w:val="0076550D"/>
    <w:rsid w:val="007701D5"/>
    <w:rsid w:val="007741F1"/>
    <w:rsid w:val="00774BEB"/>
    <w:rsid w:val="00774DFF"/>
    <w:rsid w:val="007751D7"/>
    <w:rsid w:val="00776390"/>
    <w:rsid w:val="00776C13"/>
    <w:rsid w:val="007801A8"/>
    <w:rsid w:val="00780898"/>
    <w:rsid w:val="00780959"/>
    <w:rsid w:val="00781891"/>
    <w:rsid w:val="00784492"/>
    <w:rsid w:val="007861B0"/>
    <w:rsid w:val="00786817"/>
    <w:rsid w:val="00786E18"/>
    <w:rsid w:val="00786F54"/>
    <w:rsid w:val="00790E5A"/>
    <w:rsid w:val="00791158"/>
    <w:rsid w:val="0079320A"/>
    <w:rsid w:val="007941E0"/>
    <w:rsid w:val="007A003A"/>
    <w:rsid w:val="007A0208"/>
    <w:rsid w:val="007A027B"/>
    <w:rsid w:val="007A185C"/>
    <w:rsid w:val="007A1966"/>
    <w:rsid w:val="007A21C7"/>
    <w:rsid w:val="007A2F81"/>
    <w:rsid w:val="007A3B85"/>
    <w:rsid w:val="007A53C0"/>
    <w:rsid w:val="007A69FC"/>
    <w:rsid w:val="007A7000"/>
    <w:rsid w:val="007B0D8A"/>
    <w:rsid w:val="007B0D96"/>
    <w:rsid w:val="007B1075"/>
    <w:rsid w:val="007B142F"/>
    <w:rsid w:val="007B217F"/>
    <w:rsid w:val="007B2378"/>
    <w:rsid w:val="007B7C76"/>
    <w:rsid w:val="007C0082"/>
    <w:rsid w:val="007C054C"/>
    <w:rsid w:val="007C0569"/>
    <w:rsid w:val="007C38C1"/>
    <w:rsid w:val="007C4C8D"/>
    <w:rsid w:val="007C5877"/>
    <w:rsid w:val="007C5C87"/>
    <w:rsid w:val="007C633D"/>
    <w:rsid w:val="007D0118"/>
    <w:rsid w:val="007D0D0A"/>
    <w:rsid w:val="007D1ED9"/>
    <w:rsid w:val="007D3CFD"/>
    <w:rsid w:val="007D3F6A"/>
    <w:rsid w:val="007D6A68"/>
    <w:rsid w:val="007D76CB"/>
    <w:rsid w:val="007E28AF"/>
    <w:rsid w:val="007E3EE0"/>
    <w:rsid w:val="007E74B1"/>
    <w:rsid w:val="007F241A"/>
    <w:rsid w:val="007F3E29"/>
    <w:rsid w:val="007F624A"/>
    <w:rsid w:val="007F6BEC"/>
    <w:rsid w:val="007F7C91"/>
    <w:rsid w:val="007F7CBA"/>
    <w:rsid w:val="007F7E20"/>
    <w:rsid w:val="00800127"/>
    <w:rsid w:val="008017E0"/>
    <w:rsid w:val="0080276C"/>
    <w:rsid w:val="00802F40"/>
    <w:rsid w:val="00803C41"/>
    <w:rsid w:val="00804EE2"/>
    <w:rsid w:val="008059C9"/>
    <w:rsid w:val="00806056"/>
    <w:rsid w:val="008064A0"/>
    <w:rsid w:val="00807F1B"/>
    <w:rsid w:val="00810CE2"/>
    <w:rsid w:val="00812B07"/>
    <w:rsid w:val="00813D1D"/>
    <w:rsid w:val="008144D9"/>
    <w:rsid w:val="00814FC3"/>
    <w:rsid w:val="008156B9"/>
    <w:rsid w:val="0081796B"/>
    <w:rsid w:val="0082004E"/>
    <w:rsid w:val="00821BF9"/>
    <w:rsid w:val="00822F2D"/>
    <w:rsid w:val="00825B95"/>
    <w:rsid w:val="00826615"/>
    <w:rsid w:val="00827A2D"/>
    <w:rsid w:val="00830006"/>
    <w:rsid w:val="008305AB"/>
    <w:rsid w:val="00837778"/>
    <w:rsid w:val="0084040A"/>
    <w:rsid w:val="00842372"/>
    <w:rsid w:val="00842B72"/>
    <w:rsid w:val="008439EE"/>
    <w:rsid w:val="00843E0E"/>
    <w:rsid w:val="008458EB"/>
    <w:rsid w:val="00845E85"/>
    <w:rsid w:val="00846872"/>
    <w:rsid w:val="00846D52"/>
    <w:rsid w:val="008504AB"/>
    <w:rsid w:val="00850EF3"/>
    <w:rsid w:val="00851485"/>
    <w:rsid w:val="00851EB1"/>
    <w:rsid w:val="00853F6F"/>
    <w:rsid w:val="00855AE3"/>
    <w:rsid w:val="00855AED"/>
    <w:rsid w:val="008563BF"/>
    <w:rsid w:val="0086039A"/>
    <w:rsid w:val="00860BA6"/>
    <w:rsid w:val="00862265"/>
    <w:rsid w:val="00862A21"/>
    <w:rsid w:val="00863109"/>
    <w:rsid w:val="00866400"/>
    <w:rsid w:val="00866524"/>
    <w:rsid w:val="00870DC3"/>
    <w:rsid w:val="0087286B"/>
    <w:rsid w:val="0087665A"/>
    <w:rsid w:val="00876F17"/>
    <w:rsid w:val="00877905"/>
    <w:rsid w:val="00880F9F"/>
    <w:rsid w:val="008817AC"/>
    <w:rsid w:val="00881D51"/>
    <w:rsid w:val="008823A1"/>
    <w:rsid w:val="00882920"/>
    <w:rsid w:val="00884C41"/>
    <w:rsid w:val="00886D28"/>
    <w:rsid w:val="00887058"/>
    <w:rsid w:val="00890A1F"/>
    <w:rsid w:val="00891200"/>
    <w:rsid w:val="00894A35"/>
    <w:rsid w:val="00896B15"/>
    <w:rsid w:val="00897E90"/>
    <w:rsid w:val="008A2279"/>
    <w:rsid w:val="008A2C6C"/>
    <w:rsid w:val="008A5902"/>
    <w:rsid w:val="008A7DD9"/>
    <w:rsid w:val="008B1910"/>
    <w:rsid w:val="008B3D51"/>
    <w:rsid w:val="008B3DC6"/>
    <w:rsid w:val="008B4D7C"/>
    <w:rsid w:val="008B524A"/>
    <w:rsid w:val="008C0CC9"/>
    <w:rsid w:val="008C2E91"/>
    <w:rsid w:val="008C5D73"/>
    <w:rsid w:val="008C68C1"/>
    <w:rsid w:val="008D21C7"/>
    <w:rsid w:val="008D28EF"/>
    <w:rsid w:val="008D33F8"/>
    <w:rsid w:val="008D448F"/>
    <w:rsid w:val="008D7242"/>
    <w:rsid w:val="008D776E"/>
    <w:rsid w:val="008E0F5C"/>
    <w:rsid w:val="008E1362"/>
    <w:rsid w:val="008E3037"/>
    <w:rsid w:val="008E4CBA"/>
    <w:rsid w:val="008E53D3"/>
    <w:rsid w:val="008E730A"/>
    <w:rsid w:val="008F03FC"/>
    <w:rsid w:val="008F07DC"/>
    <w:rsid w:val="008F0F07"/>
    <w:rsid w:val="008F30C0"/>
    <w:rsid w:val="008F356D"/>
    <w:rsid w:val="008F52EE"/>
    <w:rsid w:val="008F5D38"/>
    <w:rsid w:val="008F755B"/>
    <w:rsid w:val="009017E3"/>
    <w:rsid w:val="009023FF"/>
    <w:rsid w:val="0090389C"/>
    <w:rsid w:val="00903BBC"/>
    <w:rsid w:val="00903F7B"/>
    <w:rsid w:val="0090534D"/>
    <w:rsid w:val="009053A1"/>
    <w:rsid w:val="00905C9B"/>
    <w:rsid w:val="009067DD"/>
    <w:rsid w:val="0090783D"/>
    <w:rsid w:val="009119B6"/>
    <w:rsid w:val="0091230C"/>
    <w:rsid w:val="0091253D"/>
    <w:rsid w:val="00912A41"/>
    <w:rsid w:val="009140F5"/>
    <w:rsid w:val="0091455F"/>
    <w:rsid w:val="00914CFA"/>
    <w:rsid w:val="0091689A"/>
    <w:rsid w:val="009168B6"/>
    <w:rsid w:val="009205ED"/>
    <w:rsid w:val="00921266"/>
    <w:rsid w:val="009226DD"/>
    <w:rsid w:val="00925F69"/>
    <w:rsid w:val="00926CEB"/>
    <w:rsid w:val="0092749A"/>
    <w:rsid w:val="0092794F"/>
    <w:rsid w:val="00927C93"/>
    <w:rsid w:val="009316EC"/>
    <w:rsid w:val="00932E20"/>
    <w:rsid w:val="00933765"/>
    <w:rsid w:val="00936CDF"/>
    <w:rsid w:val="00937F7D"/>
    <w:rsid w:val="0094086B"/>
    <w:rsid w:val="0094550F"/>
    <w:rsid w:val="00946633"/>
    <w:rsid w:val="0095149E"/>
    <w:rsid w:val="009520B1"/>
    <w:rsid w:val="00952E41"/>
    <w:rsid w:val="00954F59"/>
    <w:rsid w:val="0095676D"/>
    <w:rsid w:val="009568B8"/>
    <w:rsid w:val="0096096F"/>
    <w:rsid w:val="00962A25"/>
    <w:rsid w:val="00962AEF"/>
    <w:rsid w:val="0096509B"/>
    <w:rsid w:val="009725C0"/>
    <w:rsid w:val="009738F7"/>
    <w:rsid w:val="00973BAF"/>
    <w:rsid w:val="00975ABC"/>
    <w:rsid w:val="00976CD5"/>
    <w:rsid w:val="00980648"/>
    <w:rsid w:val="00981848"/>
    <w:rsid w:val="0098335B"/>
    <w:rsid w:val="009844BE"/>
    <w:rsid w:val="00984DD1"/>
    <w:rsid w:val="0098622C"/>
    <w:rsid w:val="00987C28"/>
    <w:rsid w:val="00990B80"/>
    <w:rsid w:val="009911D9"/>
    <w:rsid w:val="00993F94"/>
    <w:rsid w:val="00994A7C"/>
    <w:rsid w:val="0099717E"/>
    <w:rsid w:val="009977C7"/>
    <w:rsid w:val="009A0BDC"/>
    <w:rsid w:val="009A22A5"/>
    <w:rsid w:val="009A2F19"/>
    <w:rsid w:val="009A604A"/>
    <w:rsid w:val="009A7233"/>
    <w:rsid w:val="009B0024"/>
    <w:rsid w:val="009B284F"/>
    <w:rsid w:val="009B5B2E"/>
    <w:rsid w:val="009C10EC"/>
    <w:rsid w:val="009C2DA1"/>
    <w:rsid w:val="009D0536"/>
    <w:rsid w:val="009D0A17"/>
    <w:rsid w:val="009D19FE"/>
    <w:rsid w:val="009D238C"/>
    <w:rsid w:val="009D25D5"/>
    <w:rsid w:val="009D66B7"/>
    <w:rsid w:val="009D7455"/>
    <w:rsid w:val="009E04E0"/>
    <w:rsid w:val="009E04E3"/>
    <w:rsid w:val="009E0D7F"/>
    <w:rsid w:val="009E3E70"/>
    <w:rsid w:val="009E545D"/>
    <w:rsid w:val="009E6DC6"/>
    <w:rsid w:val="009F04C8"/>
    <w:rsid w:val="009F0BE1"/>
    <w:rsid w:val="009F238C"/>
    <w:rsid w:val="009F5EB9"/>
    <w:rsid w:val="009F62D1"/>
    <w:rsid w:val="009F68A6"/>
    <w:rsid w:val="009F716C"/>
    <w:rsid w:val="00A01FA5"/>
    <w:rsid w:val="00A02493"/>
    <w:rsid w:val="00A027F7"/>
    <w:rsid w:val="00A03139"/>
    <w:rsid w:val="00A058D3"/>
    <w:rsid w:val="00A05FCF"/>
    <w:rsid w:val="00A06645"/>
    <w:rsid w:val="00A0701E"/>
    <w:rsid w:val="00A1029C"/>
    <w:rsid w:val="00A1155F"/>
    <w:rsid w:val="00A117E8"/>
    <w:rsid w:val="00A12A00"/>
    <w:rsid w:val="00A12E74"/>
    <w:rsid w:val="00A147F2"/>
    <w:rsid w:val="00A148F4"/>
    <w:rsid w:val="00A14F04"/>
    <w:rsid w:val="00A15FF1"/>
    <w:rsid w:val="00A168A0"/>
    <w:rsid w:val="00A17A60"/>
    <w:rsid w:val="00A17C54"/>
    <w:rsid w:val="00A17CA6"/>
    <w:rsid w:val="00A20177"/>
    <w:rsid w:val="00A22782"/>
    <w:rsid w:val="00A256EB"/>
    <w:rsid w:val="00A263A9"/>
    <w:rsid w:val="00A265B0"/>
    <w:rsid w:val="00A26995"/>
    <w:rsid w:val="00A27F09"/>
    <w:rsid w:val="00A31743"/>
    <w:rsid w:val="00A31755"/>
    <w:rsid w:val="00A33B6E"/>
    <w:rsid w:val="00A34DF7"/>
    <w:rsid w:val="00A36548"/>
    <w:rsid w:val="00A36D55"/>
    <w:rsid w:val="00A40159"/>
    <w:rsid w:val="00A412A4"/>
    <w:rsid w:val="00A4157A"/>
    <w:rsid w:val="00A41CC9"/>
    <w:rsid w:val="00A41FD2"/>
    <w:rsid w:val="00A43191"/>
    <w:rsid w:val="00A465F4"/>
    <w:rsid w:val="00A47044"/>
    <w:rsid w:val="00A50228"/>
    <w:rsid w:val="00A51C84"/>
    <w:rsid w:val="00A52D20"/>
    <w:rsid w:val="00A53901"/>
    <w:rsid w:val="00A56EAE"/>
    <w:rsid w:val="00A61EAA"/>
    <w:rsid w:val="00A655EA"/>
    <w:rsid w:val="00A659EF"/>
    <w:rsid w:val="00A67895"/>
    <w:rsid w:val="00A701F7"/>
    <w:rsid w:val="00A71B92"/>
    <w:rsid w:val="00A72981"/>
    <w:rsid w:val="00A72F73"/>
    <w:rsid w:val="00A73446"/>
    <w:rsid w:val="00A7355F"/>
    <w:rsid w:val="00A738E7"/>
    <w:rsid w:val="00A740D9"/>
    <w:rsid w:val="00A742B0"/>
    <w:rsid w:val="00A764AE"/>
    <w:rsid w:val="00A7677D"/>
    <w:rsid w:val="00A832DF"/>
    <w:rsid w:val="00A8525D"/>
    <w:rsid w:val="00A86266"/>
    <w:rsid w:val="00A868AE"/>
    <w:rsid w:val="00A8719B"/>
    <w:rsid w:val="00A87877"/>
    <w:rsid w:val="00A90EA2"/>
    <w:rsid w:val="00A910C1"/>
    <w:rsid w:val="00A918B4"/>
    <w:rsid w:val="00A91E3F"/>
    <w:rsid w:val="00A92542"/>
    <w:rsid w:val="00A92E9F"/>
    <w:rsid w:val="00A93631"/>
    <w:rsid w:val="00A9648D"/>
    <w:rsid w:val="00A96497"/>
    <w:rsid w:val="00A96D04"/>
    <w:rsid w:val="00A97887"/>
    <w:rsid w:val="00AA15B2"/>
    <w:rsid w:val="00AA2C0F"/>
    <w:rsid w:val="00AA3C6D"/>
    <w:rsid w:val="00AA42B1"/>
    <w:rsid w:val="00AA6FFA"/>
    <w:rsid w:val="00AB0225"/>
    <w:rsid w:val="00AB03F5"/>
    <w:rsid w:val="00AB0583"/>
    <w:rsid w:val="00AB3400"/>
    <w:rsid w:val="00AB6512"/>
    <w:rsid w:val="00AB668D"/>
    <w:rsid w:val="00AB6AEF"/>
    <w:rsid w:val="00AB6CF0"/>
    <w:rsid w:val="00AB71A8"/>
    <w:rsid w:val="00AB72BE"/>
    <w:rsid w:val="00AC0C09"/>
    <w:rsid w:val="00AC1EDD"/>
    <w:rsid w:val="00AC2074"/>
    <w:rsid w:val="00AC2319"/>
    <w:rsid w:val="00AC3B2C"/>
    <w:rsid w:val="00AC6943"/>
    <w:rsid w:val="00AC7FCF"/>
    <w:rsid w:val="00AD19A6"/>
    <w:rsid w:val="00AD34E0"/>
    <w:rsid w:val="00AD651E"/>
    <w:rsid w:val="00AD6720"/>
    <w:rsid w:val="00AE2959"/>
    <w:rsid w:val="00AE50ED"/>
    <w:rsid w:val="00AE5332"/>
    <w:rsid w:val="00AE7C2C"/>
    <w:rsid w:val="00AF3599"/>
    <w:rsid w:val="00AF3BAD"/>
    <w:rsid w:val="00AF4989"/>
    <w:rsid w:val="00AF5E2E"/>
    <w:rsid w:val="00AF7395"/>
    <w:rsid w:val="00B002CB"/>
    <w:rsid w:val="00B01615"/>
    <w:rsid w:val="00B06821"/>
    <w:rsid w:val="00B10BFE"/>
    <w:rsid w:val="00B12354"/>
    <w:rsid w:val="00B123C3"/>
    <w:rsid w:val="00B130F0"/>
    <w:rsid w:val="00B13538"/>
    <w:rsid w:val="00B15DA0"/>
    <w:rsid w:val="00B17017"/>
    <w:rsid w:val="00B17B82"/>
    <w:rsid w:val="00B203E8"/>
    <w:rsid w:val="00B2243C"/>
    <w:rsid w:val="00B229F2"/>
    <w:rsid w:val="00B2303E"/>
    <w:rsid w:val="00B237FE"/>
    <w:rsid w:val="00B254BF"/>
    <w:rsid w:val="00B2552A"/>
    <w:rsid w:val="00B259F2"/>
    <w:rsid w:val="00B2675A"/>
    <w:rsid w:val="00B2694E"/>
    <w:rsid w:val="00B30C86"/>
    <w:rsid w:val="00B31017"/>
    <w:rsid w:val="00B3322F"/>
    <w:rsid w:val="00B332B0"/>
    <w:rsid w:val="00B33E3C"/>
    <w:rsid w:val="00B351F5"/>
    <w:rsid w:val="00B3763A"/>
    <w:rsid w:val="00B377FF"/>
    <w:rsid w:val="00B37874"/>
    <w:rsid w:val="00B37EC3"/>
    <w:rsid w:val="00B37F8E"/>
    <w:rsid w:val="00B40911"/>
    <w:rsid w:val="00B41E75"/>
    <w:rsid w:val="00B42293"/>
    <w:rsid w:val="00B441F0"/>
    <w:rsid w:val="00B44D13"/>
    <w:rsid w:val="00B4535C"/>
    <w:rsid w:val="00B50185"/>
    <w:rsid w:val="00B51CB0"/>
    <w:rsid w:val="00B52CDB"/>
    <w:rsid w:val="00B533DD"/>
    <w:rsid w:val="00B53935"/>
    <w:rsid w:val="00B54945"/>
    <w:rsid w:val="00B55216"/>
    <w:rsid w:val="00B5554D"/>
    <w:rsid w:val="00B56EA3"/>
    <w:rsid w:val="00B60187"/>
    <w:rsid w:val="00B602CA"/>
    <w:rsid w:val="00B62CF2"/>
    <w:rsid w:val="00B64476"/>
    <w:rsid w:val="00B64707"/>
    <w:rsid w:val="00B73AD2"/>
    <w:rsid w:val="00B75113"/>
    <w:rsid w:val="00B752D3"/>
    <w:rsid w:val="00B7692E"/>
    <w:rsid w:val="00B76DAE"/>
    <w:rsid w:val="00B77629"/>
    <w:rsid w:val="00B77749"/>
    <w:rsid w:val="00B77CF8"/>
    <w:rsid w:val="00B80066"/>
    <w:rsid w:val="00B803F5"/>
    <w:rsid w:val="00B80CF6"/>
    <w:rsid w:val="00B81527"/>
    <w:rsid w:val="00B84482"/>
    <w:rsid w:val="00B902B2"/>
    <w:rsid w:val="00B90644"/>
    <w:rsid w:val="00B92621"/>
    <w:rsid w:val="00B92C7F"/>
    <w:rsid w:val="00B933B1"/>
    <w:rsid w:val="00B93456"/>
    <w:rsid w:val="00B95B65"/>
    <w:rsid w:val="00B97274"/>
    <w:rsid w:val="00B9782D"/>
    <w:rsid w:val="00BA16F5"/>
    <w:rsid w:val="00BA2D5A"/>
    <w:rsid w:val="00BA3385"/>
    <w:rsid w:val="00BA45DE"/>
    <w:rsid w:val="00BA4F41"/>
    <w:rsid w:val="00BA62F4"/>
    <w:rsid w:val="00BA6446"/>
    <w:rsid w:val="00BA7560"/>
    <w:rsid w:val="00BB0FBB"/>
    <w:rsid w:val="00BB1509"/>
    <w:rsid w:val="00BB19CA"/>
    <w:rsid w:val="00BB2836"/>
    <w:rsid w:val="00BB2F33"/>
    <w:rsid w:val="00BB391B"/>
    <w:rsid w:val="00BB3FF6"/>
    <w:rsid w:val="00BB4B45"/>
    <w:rsid w:val="00BB56DE"/>
    <w:rsid w:val="00BB5EA6"/>
    <w:rsid w:val="00BB7AC9"/>
    <w:rsid w:val="00BC1DDC"/>
    <w:rsid w:val="00BC5AEC"/>
    <w:rsid w:val="00BC5B42"/>
    <w:rsid w:val="00BC692A"/>
    <w:rsid w:val="00BC7245"/>
    <w:rsid w:val="00BD0446"/>
    <w:rsid w:val="00BD058F"/>
    <w:rsid w:val="00BD0F60"/>
    <w:rsid w:val="00BD1CE2"/>
    <w:rsid w:val="00BD4118"/>
    <w:rsid w:val="00BD5E05"/>
    <w:rsid w:val="00BD7179"/>
    <w:rsid w:val="00BD7624"/>
    <w:rsid w:val="00BD7C13"/>
    <w:rsid w:val="00BD7ECB"/>
    <w:rsid w:val="00BE14FD"/>
    <w:rsid w:val="00BE2DA1"/>
    <w:rsid w:val="00BE5156"/>
    <w:rsid w:val="00BE530A"/>
    <w:rsid w:val="00BE6CD4"/>
    <w:rsid w:val="00BF17A3"/>
    <w:rsid w:val="00BF1A89"/>
    <w:rsid w:val="00BF2870"/>
    <w:rsid w:val="00BF364E"/>
    <w:rsid w:val="00BF54FF"/>
    <w:rsid w:val="00BF57CA"/>
    <w:rsid w:val="00BF5875"/>
    <w:rsid w:val="00BF59C4"/>
    <w:rsid w:val="00BF5F8B"/>
    <w:rsid w:val="00BF6185"/>
    <w:rsid w:val="00BF62C5"/>
    <w:rsid w:val="00BF62FB"/>
    <w:rsid w:val="00BF7466"/>
    <w:rsid w:val="00C0076A"/>
    <w:rsid w:val="00C0080B"/>
    <w:rsid w:val="00C01C95"/>
    <w:rsid w:val="00C01F67"/>
    <w:rsid w:val="00C04905"/>
    <w:rsid w:val="00C06A8F"/>
    <w:rsid w:val="00C1233C"/>
    <w:rsid w:val="00C13457"/>
    <w:rsid w:val="00C1384B"/>
    <w:rsid w:val="00C14A20"/>
    <w:rsid w:val="00C174D2"/>
    <w:rsid w:val="00C2024F"/>
    <w:rsid w:val="00C209B5"/>
    <w:rsid w:val="00C210B7"/>
    <w:rsid w:val="00C22B6C"/>
    <w:rsid w:val="00C22CEE"/>
    <w:rsid w:val="00C23E00"/>
    <w:rsid w:val="00C23E23"/>
    <w:rsid w:val="00C2439D"/>
    <w:rsid w:val="00C24732"/>
    <w:rsid w:val="00C259A8"/>
    <w:rsid w:val="00C25C1C"/>
    <w:rsid w:val="00C25F96"/>
    <w:rsid w:val="00C2668F"/>
    <w:rsid w:val="00C26CB0"/>
    <w:rsid w:val="00C27D21"/>
    <w:rsid w:val="00C3170C"/>
    <w:rsid w:val="00C355E1"/>
    <w:rsid w:val="00C35FB9"/>
    <w:rsid w:val="00C4080C"/>
    <w:rsid w:val="00C43ECC"/>
    <w:rsid w:val="00C45375"/>
    <w:rsid w:val="00C467FC"/>
    <w:rsid w:val="00C50186"/>
    <w:rsid w:val="00C511BC"/>
    <w:rsid w:val="00C53F50"/>
    <w:rsid w:val="00C546D0"/>
    <w:rsid w:val="00C560B8"/>
    <w:rsid w:val="00C60995"/>
    <w:rsid w:val="00C617BE"/>
    <w:rsid w:val="00C61F63"/>
    <w:rsid w:val="00C6212A"/>
    <w:rsid w:val="00C64450"/>
    <w:rsid w:val="00C66051"/>
    <w:rsid w:val="00C660AB"/>
    <w:rsid w:val="00C66441"/>
    <w:rsid w:val="00C668E1"/>
    <w:rsid w:val="00C6778D"/>
    <w:rsid w:val="00C71A8A"/>
    <w:rsid w:val="00C71D37"/>
    <w:rsid w:val="00C73008"/>
    <w:rsid w:val="00C74402"/>
    <w:rsid w:val="00C74F2C"/>
    <w:rsid w:val="00C75E2D"/>
    <w:rsid w:val="00C760A8"/>
    <w:rsid w:val="00C76720"/>
    <w:rsid w:val="00C76C68"/>
    <w:rsid w:val="00C7763E"/>
    <w:rsid w:val="00C80EF3"/>
    <w:rsid w:val="00C82258"/>
    <w:rsid w:val="00C838A7"/>
    <w:rsid w:val="00C8400F"/>
    <w:rsid w:val="00C91D0D"/>
    <w:rsid w:val="00C93797"/>
    <w:rsid w:val="00C95518"/>
    <w:rsid w:val="00CA2683"/>
    <w:rsid w:val="00CA2685"/>
    <w:rsid w:val="00CA63DC"/>
    <w:rsid w:val="00CA6C35"/>
    <w:rsid w:val="00CB0540"/>
    <w:rsid w:val="00CB05D0"/>
    <w:rsid w:val="00CB0926"/>
    <w:rsid w:val="00CB2F5A"/>
    <w:rsid w:val="00CB37CB"/>
    <w:rsid w:val="00CB5E66"/>
    <w:rsid w:val="00CB70B4"/>
    <w:rsid w:val="00CC1342"/>
    <w:rsid w:val="00CC276E"/>
    <w:rsid w:val="00CC29E5"/>
    <w:rsid w:val="00CC2C31"/>
    <w:rsid w:val="00CC725A"/>
    <w:rsid w:val="00CC7BEE"/>
    <w:rsid w:val="00CD26B3"/>
    <w:rsid w:val="00CD2D5A"/>
    <w:rsid w:val="00CD4A89"/>
    <w:rsid w:val="00CD67B3"/>
    <w:rsid w:val="00CD69B8"/>
    <w:rsid w:val="00CE0226"/>
    <w:rsid w:val="00CE0BDB"/>
    <w:rsid w:val="00CE18F4"/>
    <w:rsid w:val="00CE1DF8"/>
    <w:rsid w:val="00CE62D9"/>
    <w:rsid w:val="00CE6861"/>
    <w:rsid w:val="00CF2D4C"/>
    <w:rsid w:val="00CF2ED2"/>
    <w:rsid w:val="00D04477"/>
    <w:rsid w:val="00D05860"/>
    <w:rsid w:val="00D07210"/>
    <w:rsid w:val="00D074CE"/>
    <w:rsid w:val="00D10BB6"/>
    <w:rsid w:val="00D1108F"/>
    <w:rsid w:val="00D12094"/>
    <w:rsid w:val="00D12B2C"/>
    <w:rsid w:val="00D1586B"/>
    <w:rsid w:val="00D15D75"/>
    <w:rsid w:val="00D214C6"/>
    <w:rsid w:val="00D21856"/>
    <w:rsid w:val="00D2330C"/>
    <w:rsid w:val="00D23380"/>
    <w:rsid w:val="00D2590B"/>
    <w:rsid w:val="00D2685B"/>
    <w:rsid w:val="00D302ED"/>
    <w:rsid w:val="00D30B7E"/>
    <w:rsid w:val="00D332AF"/>
    <w:rsid w:val="00D3462B"/>
    <w:rsid w:val="00D346C1"/>
    <w:rsid w:val="00D402BE"/>
    <w:rsid w:val="00D43FA5"/>
    <w:rsid w:val="00D46BA3"/>
    <w:rsid w:val="00D50A88"/>
    <w:rsid w:val="00D50F99"/>
    <w:rsid w:val="00D5143C"/>
    <w:rsid w:val="00D51A1F"/>
    <w:rsid w:val="00D51F11"/>
    <w:rsid w:val="00D52592"/>
    <w:rsid w:val="00D5322C"/>
    <w:rsid w:val="00D55869"/>
    <w:rsid w:val="00D55E4E"/>
    <w:rsid w:val="00D567FB"/>
    <w:rsid w:val="00D600A6"/>
    <w:rsid w:val="00D60159"/>
    <w:rsid w:val="00D60793"/>
    <w:rsid w:val="00D6108A"/>
    <w:rsid w:val="00D6123A"/>
    <w:rsid w:val="00D71296"/>
    <w:rsid w:val="00D72303"/>
    <w:rsid w:val="00D72981"/>
    <w:rsid w:val="00D732F2"/>
    <w:rsid w:val="00D74D27"/>
    <w:rsid w:val="00D7601E"/>
    <w:rsid w:val="00D777AC"/>
    <w:rsid w:val="00D83A79"/>
    <w:rsid w:val="00D856A1"/>
    <w:rsid w:val="00D87A7C"/>
    <w:rsid w:val="00D90A41"/>
    <w:rsid w:val="00D91630"/>
    <w:rsid w:val="00D91C57"/>
    <w:rsid w:val="00D94A36"/>
    <w:rsid w:val="00D96AB3"/>
    <w:rsid w:val="00DA2F52"/>
    <w:rsid w:val="00DA5DB2"/>
    <w:rsid w:val="00DA5F42"/>
    <w:rsid w:val="00DA75D9"/>
    <w:rsid w:val="00DB0809"/>
    <w:rsid w:val="00DB1553"/>
    <w:rsid w:val="00DB1B95"/>
    <w:rsid w:val="00DB46FE"/>
    <w:rsid w:val="00DB4BEC"/>
    <w:rsid w:val="00DB5332"/>
    <w:rsid w:val="00DB5F89"/>
    <w:rsid w:val="00DB61FA"/>
    <w:rsid w:val="00DB6B34"/>
    <w:rsid w:val="00DC042B"/>
    <w:rsid w:val="00DC0C0C"/>
    <w:rsid w:val="00DC209C"/>
    <w:rsid w:val="00DC27B4"/>
    <w:rsid w:val="00DC323C"/>
    <w:rsid w:val="00DC37C5"/>
    <w:rsid w:val="00DC5372"/>
    <w:rsid w:val="00DC5E22"/>
    <w:rsid w:val="00DC7B5E"/>
    <w:rsid w:val="00DD0B08"/>
    <w:rsid w:val="00DD154D"/>
    <w:rsid w:val="00DD2258"/>
    <w:rsid w:val="00DD767C"/>
    <w:rsid w:val="00DE11F8"/>
    <w:rsid w:val="00DE2E8F"/>
    <w:rsid w:val="00DE441C"/>
    <w:rsid w:val="00DE4617"/>
    <w:rsid w:val="00DE46CA"/>
    <w:rsid w:val="00DE49F0"/>
    <w:rsid w:val="00DE5119"/>
    <w:rsid w:val="00DE5B05"/>
    <w:rsid w:val="00DE68A2"/>
    <w:rsid w:val="00DE76AB"/>
    <w:rsid w:val="00DF1BF5"/>
    <w:rsid w:val="00DF1D7F"/>
    <w:rsid w:val="00DF2267"/>
    <w:rsid w:val="00DF24AD"/>
    <w:rsid w:val="00DF519F"/>
    <w:rsid w:val="00E009BD"/>
    <w:rsid w:val="00E01D59"/>
    <w:rsid w:val="00E0383D"/>
    <w:rsid w:val="00E03858"/>
    <w:rsid w:val="00E044DB"/>
    <w:rsid w:val="00E0626D"/>
    <w:rsid w:val="00E1108E"/>
    <w:rsid w:val="00E139F4"/>
    <w:rsid w:val="00E14B9F"/>
    <w:rsid w:val="00E14D96"/>
    <w:rsid w:val="00E16130"/>
    <w:rsid w:val="00E16B95"/>
    <w:rsid w:val="00E1706E"/>
    <w:rsid w:val="00E21404"/>
    <w:rsid w:val="00E2196F"/>
    <w:rsid w:val="00E22B85"/>
    <w:rsid w:val="00E22C10"/>
    <w:rsid w:val="00E22E93"/>
    <w:rsid w:val="00E23806"/>
    <w:rsid w:val="00E242B1"/>
    <w:rsid w:val="00E24E73"/>
    <w:rsid w:val="00E25E12"/>
    <w:rsid w:val="00E25F00"/>
    <w:rsid w:val="00E26C35"/>
    <w:rsid w:val="00E305A2"/>
    <w:rsid w:val="00E31B31"/>
    <w:rsid w:val="00E34EA8"/>
    <w:rsid w:val="00E36167"/>
    <w:rsid w:val="00E40366"/>
    <w:rsid w:val="00E41C70"/>
    <w:rsid w:val="00E42940"/>
    <w:rsid w:val="00E42FBA"/>
    <w:rsid w:val="00E4355F"/>
    <w:rsid w:val="00E43DD9"/>
    <w:rsid w:val="00E44E84"/>
    <w:rsid w:val="00E4520D"/>
    <w:rsid w:val="00E453D4"/>
    <w:rsid w:val="00E45DC8"/>
    <w:rsid w:val="00E46F30"/>
    <w:rsid w:val="00E503FB"/>
    <w:rsid w:val="00E51E90"/>
    <w:rsid w:val="00E5488F"/>
    <w:rsid w:val="00E5580D"/>
    <w:rsid w:val="00E5603C"/>
    <w:rsid w:val="00E57F8D"/>
    <w:rsid w:val="00E601E1"/>
    <w:rsid w:val="00E61D36"/>
    <w:rsid w:val="00E62859"/>
    <w:rsid w:val="00E62C79"/>
    <w:rsid w:val="00E666A7"/>
    <w:rsid w:val="00E67A82"/>
    <w:rsid w:val="00E7037D"/>
    <w:rsid w:val="00E7203E"/>
    <w:rsid w:val="00E720F2"/>
    <w:rsid w:val="00E72E44"/>
    <w:rsid w:val="00E7441D"/>
    <w:rsid w:val="00E76ACA"/>
    <w:rsid w:val="00E77440"/>
    <w:rsid w:val="00E809E6"/>
    <w:rsid w:val="00E832FD"/>
    <w:rsid w:val="00E834B5"/>
    <w:rsid w:val="00E8468B"/>
    <w:rsid w:val="00E87B70"/>
    <w:rsid w:val="00E90832"/>
    <w:rsid w:val="00E93D5F"/>
    <w:rsid w:val="00E93E10"/>
    <w:rsid w:val="00E96C53"/>
    <w:rsid w:val="00E97027"/>
    <w:rsid w:val="00EA13A8"/>
    <w:rsid w:val="00EA157F"/>
    <w:rsid w:val="00EA2A0F"/>
    <w:rsid w:val="00EA2ABC"/>
    <w:rsid w:val="00EA2BA7"/>
    <w:rsid w:val="00EA3E4A"/>
    <w:rsid w:val="00EA41AC"/>
    <w:rsid w:val="00EA4FB1"/>
    <w:rsid w:val="00EA52C6"/>
    <w:rsid w:val="00EB1B60"/>
    <w:rsid w:val="00EB4B5E"/>
    <w:rsid w:val="00EB534E"/>
    <w:rsid w:val="00EC184A"/>
    <w:rsid w:val="00EC4C07"/>
    <w:rsid w:val="00EC561F"/>
    <w:rsid w:val="00EC66F3"/>
    <w:rsid w:val="00EC6B88"/>
    <w:rsid w:val="00ED10BC"/>
    <w:rsid w:val="00ED5251"/>
    <w:rsid w:val="00ED716F"/>
    <w:rsid w:val="00EE03B4"/>
    <w:rsid w:val="00EE087A"/>
    <w:rsid w:val="00EE09B9"/>
    <w:rsid w:val="00EE13BC"/>
    <w:rsid w:val="00EE16F6"/>
    <w:rsid w:val="00EE1FEA"/>
    <w:rsid w:val="00EE2067"/>
    <w:rsid w:val="00EE30E1"/>
    <w:rsid w:val="00EE4462"/>
    <w:rsid w:val="00EE5FE3"/>
    <w:rsid w:val="00EE60C5"/>
    <w:rsid w:val="00EE692E"/>
    <w:rsid w:val="00EE711B"/>
    <w:rsid w:val="00EF0D61"/>
    <w:rsid w:val="00EF1EF0"/>
    <w:rsid w:val="00EF39CC"/>
    <w:rsid w:val="00EF3DAD"/>
    <w:rsid w:val="00EF6540"/>
    <w:rsid w:val="00EF6C9F"/>
    <w:rsid w:val="00F00BA7"/>
    <w:rsid w:val="00F0204D"/>
    <w:rsid w:val="00F02B0D"/>
    <w:rsid w:val="00F06A5E"/>
    <w:rsid w:val="00F06C6E"/>
    <w:rsid w:val="00F10133"/>
    <w:rsid w:val="00F106F9"/>
    <w:rsid w:val="00F1127A"/>
    <w:rsid w:val="00F11999"/>
    <w:rsid w:val="00F13C37"/>
    <w:rsid w:val="00F15155"/>
    <w:rsid w:val="00F16166"/>
    <w:rsid w:val="00F175A7"/>
    <w:rsid w:val="00F202AA"/>
    <w:rsid w:val="00F20E28"/>
    <w:rsid w:val="00F22E6D"/>
    <w:rsid w:val="00F26C87"/>
    <w:rsid w:val="00F272E7"/>
    <w:rsid w:val="00F2745F"/>
    <w:rsid w:val="00F27C90"/>
    <w:rsid w:val="00F304CB"/>
    <w:rsid w:val="00F3126F"/>
    <w:rsid w:val="00F32A42"/>
    <w:rsid w:val="00F3309D"/>
    <w:rsid w:val="00F34142"/>
    <w:rsid w:val="00F3565B"/>
    <w:rsid w:val="00F35A23"/>
    <w:rsid w:val="00F41079"/>
    <w:rsid w:val="00F419E9"/>
    <w:rsid w:val="00F41E15"/>
    <w:rsid w:val="00F41ECB"/>
    <w:rsid w:val="00F431FC"/>
    <w:rsid w:val="00F44442"/>
    <w:rsid w:val="00F4547C"/>
    <w:rsid w:val="00F50F41"/>
    <w:rsid w:val="00F50F7D"/>
    <w:rsid w:val="00F52DD7"/>
    <w:rsid w:val="00F53B04"/>
    <w:rsid w:val="00F56003"/>
    <w:rsid w:val="00F57E50"/>
    <w:rsid w:val="00F60555"/>
    <w:rsid w:val="00F60CD0"/>
    <w:rsid w:val="00F614E4"/>
    <w:rsid w:val="00F64A0B"/>
    <w:rsid w:val="00F64C5F"/>
    <w:rsid w:val="00F64EB9"/>
    <w:rsid w:val="00F64FD0"/>
    <w:rsid w:val="00F70100"/>
    <w:rsid w:val="00F70F41"/>
    <w:rsid w:val="00F70F9E"/>
    <w:rsid w:val="00F71070"/>
    <w:rsid w:val="00F713A5"/>
    <w:rsid w:val="00F7188F"/>
    <w:rsid w:val="00F72E9A"/>
    <w:rsid w:val="00F74346"/>
    <w:rsid w:val="00F75B8F"/>
    <w:rsid w:val="00F776E0"/>
    <w:rsid w:val="00F77B4F"/>
    <w:rsid w:val="00F8024E"/>
    <w:rsid w:val="00F823ED"/>
    <w:rsid w:val="00F82634"/>
    <w:rsid w:val="00F83CE8"/>
    <w:rsid w:val="00F853F0"/>
    <w:rsid w:val="00F87EEF"/>
    <w:rsid w:val="00F90DA5"/>
    <w:rsid w:val="00F91F5A"/>
    <w:rsid w:val="00F960F0"/>
    <w:rsid w:val="00F96530"/>
    <w:rsid w:val="00F968A7"/>
    <w:rsid w:val="00F968E0"/>
    <w:rsid w:val="00FA0708"/>
    <w:rsid w:val="00FA0B2E"/>
    <w:rsid w:val="00FA0B87"/>
    <w:rsid w:val="00FA1484"/>
    <w:rsid w:val="00FA306D"/>
    <w:rsid w:val="00FA3390"/>
    <w:rsid w:val="00FA65A8"/>
    <w:rsid w:val="00FA6882"/>
    <w:rsid w:val="00FA7553"/>
    <w:rsid w:val="00FA7ABC"/>
    <w:rsid w:val="00FB0398"/>
    <w:rsid w:val="00FB0871"/>
    <w:rsid w:val="00FB13D3"/>
    <w:rsid w:val="00FB213F"/>
    <w:rsid w:val="00FB3344"/>
    <w:rsid w:val="00FB7F03"/>
    <w:rsid w:val="00FB7FEB"/>
    <w:rsid w:val="00FC1352"/>
    <w:rsid w:val="00FC1B72"/>
    <w:rsid w:val="00FC5863"/>
    <w:rsid w:val="00FC5909"/>
    <w:rsid w:val="00FC5CDA"/>
    <w:rsid w:val="00FC62A9"/>
    <w:rsid w:val="00FC74FA"/>
    <w:rsid w:val="00FC7690"/>
    <w:rsid w:val="00FD0FDE"/>
    <w:rsid w:val="00FD3C6F"/>
    <w:rsid w:val="00FD62F5"/>
    <w:rsid w:val="00FD7DD1"/>
    <w:rsid w:val="00FE6719"/>
    <w:rsid w:val="00FE695A"/>
    <w:rsid w:val="00FF33A0"/>
    <w:rsid w:val="00FF3EE2"/>
    <w:rsid w:val="00FF53C8"/>
    <w:rsid w:val="00FF5EF9"/>
    <w:rsid w:val="00FF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CD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6A"/>
    <w:rPr>
      <w:color w:val="0000FF"/>
      <w:u w:val="single"/>
    </w:rPr>
  </w:style>
  <w:style w:type="paragraph" w:styleId="NormalWeb">
    <w:name w:val="Normal (Web)"/>
    <w:basedOn w:val="Normal"/>
    <w:uiPriority w:val="99"/>
    <w:unhideWhenUsed/>
    <w:rsid w:val="00C0076A"/>
    <w:pPr>
      <w:spacing w:after="0" w:line="240" w:lineRule="auto"/>
    </w:pPr>
    <w:rPr>
      <w:rFonts w:ascii="Calibri" w:eastAsiaTheme="minorEastAsia" w:hAnsi="Calibri" w:cs="Calibri"/>
      <w:kern w:val="0"/>
    </w:rPr>
  </w:style>
  <w:style w:type="table" w:styleId="TableGrid">
    <w:name w:val="Table Grid"/>
    <w:basedOn w:val="TableNormal"/>
    <w:uiPriority w:val="39"/>
    <w:rsid w:val="0061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7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9DC"/>
    <w:rPr>
      <w:sz w:val="20"/>
      <w:szCs w:val="20"/>
    </w:rPr>
  </w:style>
  <w:style w:type="character" w:styleId="FootnoteReference">
    <w:name w:val="footnote reference"/>
    <w:basedOn w:val="DefaultParagraphFont"/>
    <w:uiPriority w:val="99"/>
    <w:semiHidden/>
    <w:unhideWhenUsed/>
    <w:rsid w:val="005279DC"/>
    <w:rPr>
      <w:vertAlign w:val="superscript"/>
    </w:rPr>
  </w:style>
  <w:style w:type="character" w:styleId="UnresolvedMention">
    <w:name w:val="Unresolved Mention"/>
    <w:basedOn w:val="DefaultParagraphFont"/>
    <w:uiPriority w:val="99"/>
    <w:semiHidden/>
    <w:unhideWhenUsed/>
    <w:rsid w:val="00C8400F"/>
    <w:rPr>
      <w:color w:val="605E5C"/>
      <w:shd w:val="clear" w:color="auto" w:fill="E1DFDD"/>
    </w:rPr>
  </w:style>
  <w:style w:type="paragraph" w:styleId="Header">
    <w:name w:val="header"/>
    <w:basedOn w:val="Normal"/>
    <w:link w:val="HeaderChar"/>
    <w:uiPriority w:val="99"/>
    <w:unhideWhenUsed/>
    <w:rsid w:val="00E7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1D"/>
  </w:style>
  <w:style w:type="paragraph" w:styleId="Footer">
    <w:name w:val="footer"/>
    <w:basedOn w:val="Normal"/>
    <w:link w:val="FooterChar"/>
    <w:uiPriority w:val="99"/>
    <w:unhideWhenUsed/>
    <w:rsid w:val="00E7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1D"/>
  </w:style>
  <w:style w:type="paragraph" w:styleId="HTMLPreformatted">
    <w:name w:val="HTML Preformatted"/>
    <w:basedOn w:val="Normal"/>
    <w:link w:val="HTMLPreformattedChar"/>
    <w:uiPriority w:val="99"/>
    <w:semiHidden/>
    <w:unhideWhenUsed/>
    <w:rsid w:val="00B777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7749"/>
    <w:rPr>
      <w:rFonts w:ascii="Consolas" w:hAnsi="Consolas"/>
      <w:sz w:val="20"/>
      <w:szCs w:val="20"/>
    </w:rPr>
  </w:style>
  <w:style w:type="character" w:styleId="CommentReference">
    <w:name w:val="annotation reference"/>
    <w:basedOn w:val="DefaultParagraphFont"/>
    <w:uiPriority w:val="99"/>
    <w:semiHidden/>
    <w:unhideWhenUsed/>
    <w:rsid w:val="0063402E"/>
    <w:rPr>
      <w:sz w:val="16"/>
      <w:szCs w:val="16"/>
    </w:rPr>
  </w:style>
  <w:style w:type="paragraph" w:styleId="CommentText">
    <w:name w:val="annotation text"/>
    <w:basedOn w:val="Normal"/>
    <w:link w:val="CommentTextChar"/>
    <w:uiPriority w:val="99"/>
    <w:unhideWhenUsed/>
    <w:rsid w:val="0063402E"/>
    <w:pPr>
      <w:spacing w:line="240" w:lineRule="auto"/>
    </w:pPr>
    <w:rPr>
      <w:sz w:val="20"/>
      <w:szCs w:val="20"/>
    </w:rPr>
  </w:style>
  <w:style w:type="character" w:customStyle="1" w:styleId="CommentTextChar">
    <w:name w:val="Comment Text Char"/>
    <w:basedOn w:val="DefaultParagraphFont"/>
    <w:link w:val="CommentText"/>
    <w:uiPriority w:val="99"/>
    <w:rsid w:val="0063402E"/>
    <w:rPr>
      <w:sz w:val="20"/>
      <w:szCs w:val="20"/>
    </w:rPr>
  </w:style>
  <w:style w:type="paragraph" w:styleId="CommentSubject">
    <w:name w:val="annotation subject"/>
    <w:basedOn w:val="CommentText"/>
    <w:next w:val="CommentText"/>
    <w:link w:val="CommentSubjectChar"/>
    <w:uiPriority w:val="99"/>
    <w:semiHidden/>
    <w:unhideWhenUsed/>
    <w:rsid w:val="0063402E"/>
    <w:rPr>
      <w:b/>
      <w:bCs/>
    </w:rPr>
  </w:style>
  <w:style w:type="character" w:customStyle="1" w:styleId="CommentSubjectChar">
    <w:name w:val="Comment Subject Char"/>
    <w:basedOn w:val="CommentTextChar"/>
    <w:link w:val="CommentSubject"/>
    <w:uiPriority w:val="99"/>
    <w:semiHidden/>
    <w:rsid w:val="0063402E"/>
    <w:rPr>
      <w:b/>
      <w:bCs/>
      <w:sz w:val="20"/>
      <w:szCs w:val="20"/>
    </w:rPr>
  </w:style>
  <w:style w:type="paragraph" w:styleId="ListParagraph">
    <w:name w:val="List Paragraph"/>
    <w:basedOn w:val="Normal"/>
    <w:uiPriority w:val="34"/>
    <w:qFormat/>
    <w:rsid w:val="00D732F2"/>
    <w:pPr>
      <w:spacing w:before="100" w:beforeAutospacing="1" w:after="100" w:afterAutospacing="1" w:line="240" w:lineRule="auto"/>
    </w:pPr>
    <w:rPr>
      <w:rFonts w:ascii="Calibri" w:eastAsiaTheme="minorEastAsia" w:hAnsi="Calibri" w:cs="Calibri"/>
      <w:kern w:val="0"/>
      <w14:ligatures w14:val="none"/>
    </w:rPr>
  </w:style>
  <w:style w:type="character" w:styleId="FollowedHyperlink">
    <w:name w:val="FollowedHyperlink"/>
    <w:basedOn w:val="DefaultParagraphFont"/>
    <w:uiPriority w:val="99"/>
    <w:semiHidden/>
    <w:unhideWhenUsed/>
    <w:rsid w:val="00C511BC"/>
    <w:rPr>
      <w:color w:val="954F72" w:themeColor="followedHyperlink"/>
      <w:u w:val="single"/>
    </w:rPr>
  </w:style>
  <w:style w:type="paragraph" w:styleId="Revision">
    <w:name w:val="Revision"/>
    <w:hidden/>
    <w:uiPriority w:val="99"/>
    <w:semiHidden/>
    <w:rsid w:val="00103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0202">
      <w:bodyDiv w:val="1"/>
      <w:marLeft w:val="0"/>
      <w:marRight w:val="0"/>
      <w:marTop w:val="0"/>
      <w:marBottom w:val="0"/>
      <w:divBdr>
        <w:top w:val="none" w:sz="0" w:space="0" w:color="auto"/>
        <w:left w:val="none" w:sz="0" w:space="0" w:color="auto"/>
        <w:bottom w:val="none" w:sz="0" w:space="0" w:color="auto"/>
        <w:right w:val="none" w:sz="0" w:space="0" w:color="auto"/>
      </w:divBdr>
    </w:div>
    <w:div w:id="367492168">
      <w:bodyDiv w:val="1"/>
      <w:marLeft w:val="0"/>
      <w:marRight w:val="0"/>
      <w:marTop w:val="0"/>
      <w:marBottom w:val="0"/>
      <w:divBdr>
        <w:top w:val="none" w:sz="0" w:space="0" w:color="auto"/>
        <w:left w:val="none" w:sz="0" w:space="0" w:color="auto"/>
        <w:bottom w:val="none" w:sz="0" w:space="0" w:color="auto"/>
        <w:right w:val="none" w:sz="0" w:space="0" w:color="auto"/>
      </w:divBdr>
    </w:div>
    <w:div w:id="513156882">
      <w:bodyDiv w:val="1"/>
      <w:marLeft w:val="0"/>
      <w:marRight w:val="0"/>
      <w:marTop w:val="0"/>
      <w:marBottom w:val="0"/>
      <w:divBdr>
        <w:top w:val="none" w:sz="0" w:space="0" w:color="auto"/>
        <w:left w:val="none" w:sz="0" w:space="0" w:color="auto"/>
        <w:bottom w:val="none" w:sz="0" w:space="0" w:color="auto"/>
        <w:right w:val="none" w:sz="0" w:space="0" w:color="auto"/>
      </w:divBdr>
    </w:div>
    <w:div w:id="729039181">
      <w:bodyDiv w:val="1"/>
      <w:marLeft w:val="0"/>
      <w:marRight w:val="0"/>
      <w:marTop w:val="0"/>
      <w:marBottom w:val="0"/>
      <w:divBdr>
        <w:top w:val="none" w:sz="0" w:space="0" w:color="auto"/>
        <w:left w:val="none" w:sz="0" w:space="0" w:color="auto"/>
        <w:bottom w:val="none" w:sz="0" w:space="0" w:color="auto"/>
        <w:right w:val="none" w:sz="0" w:space="0" w:color="auto"/>
      </w:divBdr>
      <w:divsChild>
        <w:div w:id="1220440262">
          <w:marLeft w:val="-225"/>
          <w:marRight w:val="-225"/>
          <w:marTop w:val="0"/>
          <w:marBottom w:val="0"/>
          <w:divBdr>
            <w:top w:val="none" w:sz="0" w:space="0" w:color="auto"/>
            <w:left w:val="none" w:sz="0" w:space="0" w:color="auto"/>
            <w:bottom w:val="none" w:sz="0" w:space="0" w:color="auto"/>
            <w:right w:val="none" w:sz="0" w:space="0" w:color="auto"/>
          </w:divBdr>
          <w:divsChild>
            <w:div w:id="106699620">
              <w:marLeft w:val="-225"/>
              <w:marRight w:val="-225"/>
              <w:marTop w:val="0"/>
              <w:marBottom w:val="300"/>
              <w:divBdr>
                <w:top w:val="none" w:sz="0" w:space="0" w:color="auto"/>
                <w:left w:val="none" w:sz="0" w:space="0" w:color="auto"/>
                <w:bottom w:val="single" w:sz="6" w:space="5" w:color="B2B2B2"/>
                <w:right w:val="none" w:sz="0" w:space="0" w:color="auto"/>
              </w:divBdr>
              <w:divsChild>
                <w:div w:id="1085497638">
                  <w:marLeft w:val="0"/>
                  <w:marRight w:val="0"/>
                  <w:marTop w:val="0"/>
                  <w:marBottom w:val="0"/>
                  <w:divBdr>
                    <w:top w:val="none" w:sz="0" w:space="0" w:color="auto"/>
                    <w:left w:val="none" w:sz="0" w:space="0" w:color="auto"/>
                    <w:bottom w:val="none" w:sz="0" w:space="0" w:color="auto"/>
                    <w:right w:val="none" w:sz="0" w:space="0" w:color="auto"/>
                  </w:divBdr>
                  <w:divsChild>
                    <w:div w:id="412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8303">
      <w:bodyDiv w:val="1"/>
      <w:marLeft w:val="0"/>
      <w:marRight w:val="0"/>
      <w:marTop w:val="0"/>
      <w:marBottom w:val="0"/>
      <w:divBdr>
        <w:top w:val="none" w:sz="0" w:space="0" w:color="auto"/>
        <w:left w:val="none" w:sz="0" w:space="0" w:color="auto"/>
        <w:bottom w:val="none" w:sz="0" w:space="0" w:color="auto"/>
        <w:right w:val="none" w:sz="0" w:space="0" w:color="auto"/>
      </w:divBdr>
    </w:div>
    <w:div w:id="1056591523">
      <w:bodyDiv w:val="1"/>
      <w:marLeft w:val="0"/>
      <w:marRight w:val="0"/>
      <w:marTop w:val="0"/>
      <w:marBottom w:val="0"/>
      <w:divBdr>
        <w:top w:val="none" w:sz="0" w:space="0" w:color="auto"/>
        <w:left w:val="none" w:sz="0" w:space="0" w:color="auto"/>
        <w:bottom w:val="none" w:sz="0" w:space="0" w:color="auto"/>
        <w:right w:val="none" w:sz="0" w:space="0" w:color="auto"/>
      </w:divBdr>
    </w:div>
    <w:div w:id="1162312017">
      <w:bodyDiv w:val="1"/>
      <w:marLeft w:val="0"/>
      <w:marRight w:val="0"/>
      <w:marTop w:val="0"/>
      <w:marBottom w:val="0"/>
      <w:divBdr>
        <w:top w:val="none" w:sz="0" w:space="0" w:color="auto"/>
        <w:left w:val="none" w:sz="0" w:space="0" w:color="auto"/>
        <w:bottom w:val="none" w:sz="0" w:space="0" w:color="auto"/>
        <w:right w:val="none" w:sz="0" w:space="0" w:color="auto"/>
      </w:divBdr>
    </w:div>
    <w:div w:id="1293636665">
      <w:bodyDiv w:val="1"/>
      <w:marLeft w:val="0"/>
      <w:marRight w:val="0"/>
      <w:marTop w:val="0"/>
      <w:marBottom w:val="0"/>
      <w:divBdr>
        <w:top w:val="none" w:sz="0" w:space="0" w:color="auto"/>
        <w:left w:val="none" w:sz="0" w:space="0" w:color="auto"/>
        <w:bottom w:val="none" w:sz="0" w:space="0" w:color="auto"/>
        <w:right w:val="none" w:sz="0" w:space="0" w:color="auto"/>
      </w:divBdr>
    </w:div>
    <w:div w:id="1436486905">
      <w:bodyDiv w:val="1"/>
      <w:marLeft w:val="0"/>
      <w:marRight w:val="0"/>
      <w:marTop w:val="0"/>
      <w:marBottom w:val="0"/>
      <w:divBdr>
        <w:top w:val="none" w:sz="0" w:space="0" w:color="auto"/>
        <w:left w:val="none" w:sz="0" w:space="0" w:color="auto"/>
        <w:bottom w:val="none" w:sz="0" w:space="0" w:color="auto"/>
        <w:right w:val="none" w:sz="0" w:space="0" w:color="auto"/>
      </w:divBdr>
    </w:div>
    <w:div w:id="1844200127">
      <w:bodyDiv w:val="1"/>
      <w:marLeft w:val="0"/>
      <w:marRight w:val="0"/>
      <w:marTop w:val="0"/>
      <w:marBottom w:val="0"/>
      <w:divBdr>
        <w:top w:val="none" w:sz="0" w:space="0" w:color="auto"/>
        <w:left w:val="none" w:sz="0" w:space="0" w:color="auto"/>
        <w:bottom w:val="none" w:sz="0" w:space="0" w:color="auto"/>
        <w:right w:val="none" w:sz="0" w:space="0" w:color="auto"/>
      </w:divBdr>
    </w:div>
    <w:div w:id="19015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news/press-releases/jy143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me.treasury.gov/system/files/261/FSOC-2023-Proposed-Nonbanks-Guidance.pdf" TargetMode="External"/><Relationship Id="rId4" Type="http://schemas.openxmlformats.org/officeDocument/2006/relationships/settings" Target="settings.xml"/><Relationship Id="rId9" Type="http://schemas.openxmlformats.org/officeDocument/2006/relationships/hyperlink" Target="https://home.treasury.gov/system/files/261/FSOC-2023-Risk-Framework.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B544-A14B-4DCF-85C2-4CEDE3E8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4030</Words>
  <Characters>22976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26953</CharactersWithSpaces>
  <SharedDoc>false</SharedDoc>
  <HLinks>
    <vt:vector size="84" baseType="variant">
      <vt:variant>
        <vt:i4>3539056</vt:i4>
      </vt:variant>
      <vt:variant>
        <vt:i4>6</vt:i4>
      </vt:variant>
      <vt:variant>
        <vt:i4>0</vt:i4>
      </vt:variant>
      <vt:variant>
        <vt:i4>5</vt:i4>
      </vt:variant>
      <vt:variant>
        <vt:lpwstr>https://home.treasury.gov/system/files/261/FSOC-2023-Proposed-Nonbanks-Guidance.pdf</vt:lpwstr>
      </vt:variant>
      <vt:variant>
        <vt:lpwstr/>
      </vt:variant>
      <vt:variant>
        <vt:i4>2359356</vt:i4>
      </vt:variant>
      <vt:variant>
        <vt:i4>3</vt:i4>
      </vt:variant>
      <vt:variant>
        <vt:i4>0</vt:i4>
      </vt:variant>
      <vt:variant>
        <vt:i4>5</vt:i4>
      </vt:variant>
      <vt:variant>
        <vt:lpwstr>https://home.treasury.gov/system/files/261/FSOC-2023-Risk-Framework.pdf</vt:lpwstr>
      </vt:variant>
      <vt:variant>
        <vt:lpwstr/>
      </vt:variant>
      <vt:variant>
        <vt:i4>6225943</vt:i4>
      </vt:variant>
      <vt:variant>
        <vt:i4>0</vt:i4>
      </vt:variant>
      <vt:variant>
        <vt:i4>0</vt:i4>
      </vt:variant>
      <vt:variant>
        <vt:i4>5</vt:i4>
      </vt:variant>
      <vt:variant>
        <vt:lpwstr>https://home.treasury.gov/news/press-releases/jy1432</vt:lpwstr>
      </vt:variant>
      <vt:variant>
        <vt:lpwstr/>
      </vt:variant>
      <vt:variant>
        <vt:i4>524301</vt:i4>
      </vt:variant>
      <vt:variant>
        <vt:i4>21</vt:i4>
      </vt:variant>
      <vt:variant>
        <vt:i4>0</vt:i4>
      </vt:variant>
      <vt:variant>
        <vt:i4>5</vt:i4>
      </vt:variant>
      <vt:variant>
        <vt:lpwstr>https://www.consumerfinance.gov/about-us/newsroom/statement-of-cfpb-director-rohit-chopra-on-proposed-restoration-of-financial-stability-oversight-council-authority-regulatory-credibility/</vt:lpwstr>
      </vt:variant>
      <vt:variant>
        <vt:lpwstr/>
      </vt:variant>
      <vt:variant>
        <vt:i4>3342370</vt:i4>
      </vt:variant>
      <vt:variant>
        <vt:i4>18</vt:i4>
      </vt:variant>
      <vt:variant>
        <vt:i4>0</vt:i4>
      </vt:variant>
      <vt:variant>
        <vt:i4>5</vt:i4>
      </vt:variant>
      <vt:variant>
        <vt:lpwstr>https://www.sec.gov/news/speech/gensler-remarks-fsoc-042123</vt:lpwstr>
      </vt:variant>
      <vt:variant>
        <vt:lpwstr/>
      </vt:variant>
      <vt:variant>
        <vt:i4>1572879</vt:i4>
      </vt:variant>
      <vt:variant>
        <vt:i4>15</vt:i4>
      </vt:variant>
      <vt:variant>
        <vt:i4>0</vt:i4>
      </vt:variant>
      <vt:variant>
        <vt:i4>5</vt:i4>
      </vt:variant>
      <vt:variant>
        <vt:lpwstr>https://home.treasury.gov/system/files/261/Authority to Require Supervision and Regulation of Certain Nonbank Financial Companies %28April 11%2C 2012%29.pdf</vt:lpwstr>
      </vt:variant>
      <vt:variant>
        <vt:lpwstr/>
      </vt:variant>
      <vt:variant>
        <vt:i4>4259842</vt:i4>
      </vt:variant>
      <vt:variant>
        <vt:i4>12</vt:i4>
      </vt:variant>
      <vt:variant>
        <vt:i4>0</vt:i4>
      </vt:variant>
      <vt:variant>
        <vt:i4>5</vt:i4>
      </vt:variant>
      <vt:variant>
        <vt:lpwstr>https://home.treasury.gov/system/files/261/Authority-to-Require-Supervision-and-Regulation-of-Certain-Nonbank-Financial-Companies.pdf</vt:lpwstr>
      </vt:variant>
      <vt:variant>
        <vt:lpwstr/>
      </vt:variant>
      <vt:variant>
        <vt:i4>3539056</vt:i4>
      </vt:variant>
      <vt:variant>
        <vt:i4>9</vt:i4>
      </vt:variant>
      <vt:variant>
        <vt:i4>0</vt:i4>
      </vt:variant>
      <vt:variant>
        <vt:i4>5</vt:i4>
      </vt:variant>
      <vt:variant>
        <vt:lpwstr>https://home.treasury.gov/system/files/261/FSOC-2023-Proposed-Nonbanks-Guidance.pdf</vt:lpwstr>
      </vt:variant>
      <vt:variant>
        <vt:lpwstr/>
      </vt:variant>
      <vt:variant>
        <vt:i4>2883630</vt:i4>
      </vt:variant>
      <vt:variant>
        <vt:i4>3</vt:i4>
      </vt:variant>
      <vt:variant>
        <vt:i4>0</vt:i4>
      </vt:variant>
      <vt:variant>
        <vt:i4>5</vt:i4>
      </vt:variant>
      <vt:variant>
        <vt:lpwstr>https://www.ft.com/content/31b36b9a-a662-11e7-93c5-648314d2c72c</vt:lpwstr>
      </vt:variant>
      <vt:variant>
        <vt:lpwstr/>
      </vt:variant>
      <vt:variant>
        <vt:i4>7012479</vt:i4>
      </vt:variant>
      <vt:variant>
        <vt:i4>0</vt:i4>
      </vt:variant>
      <vt:variant>
        <vt:i4>0</vt:i4>
      </vt:variant>
      <vt:variant>
        <vt:i4>5</vt:i4>
      </vt:variant>
      <vt:variant>
        <vt:lpwstr>https://docs.house.gov/meetings/BA/BA00/20140520/102244/HHRG-113-BA00-Wstate-WallisonP-20140520.pdf</vt:lpwstr>
      </vt:variant>
      <vt:variant>
        <vt:lpwstr/>
      </vt:variant>
      <vt:variant>
        <vt:i4>3539056</vt:i4>
      </vt:variant>
      <vt:variant>
        <vt:i4>9</vt:i4>
      </vt:variant>
      <vt:variant>
        <vt:i4>0</vt:i4>
      </vt:variant>
      <vt:variant>
        <vt:i4>5</vt:i4>
      </vt:variant>
      <vt:variant>
        <vt:lpwstr>https://home.treasury.gov/system/files/261/FSOC-2023-Proposed-Nonbanks-Guidance.pdf</vt:lpwstr>
      </vt:variant>
      <vt:variant>
        <vt:lpwstr/>
      </vt:variant>
      <vt:variant>
        <vt:i4>2555967</vt:i4>
      </vt:variant>
      <vt:variant>
        <vt:i4>6</vt:i4>
      </vt:variant>
      <vt:variant>
        <vt:i4>0</vt:i4>
      </vt:variant>
      <vt:variant>
        <vt:i4>5</vt:i4>
      </vt:variant>
      <vt:variant>
        <vt:lpwstr>https://home.treasury.gov/system/files/261/Prudential-Financial-Inc-Rescission.pdf</vt:lpwstr>
      </vt:variant>
      <vt:variant>
        <vt:lpwstr/>
      </vt:variant>
      <vt:variant>
        <vt:i4>2555967</vt:i4>
      </vt:variant>
      <vt:variant>
        <vt:i4>3</vt:i4>
      </vt:variant>
      <vt:variant>
        <vt:i4>0</vt:i4>
      </vt:variant>
      <vt:variant>
        <vt:i4>5</vt:i4>
      </vt:variant>
      <vt:variant>
        <vt:lpwstr>https://home.treasury.gov/system/files/261/Prudential-Financial-Inc-Rescission.pdf</vt:lpwstr>
      </vt:variant>
      <vt:variant>
        <vt:lpwstr/>
      </vt:variant>
      <vt:variant>
        <vt:i4>4849736</vt:i4>
      </vt:variant>
      <vt:variant>
        <vt:i4>0</vt:i4>
      </vt:variant>
      <vt:variant>
        <vt:i4>0</vt:i4>
      </vt:variant>
      <vt:variant>
        <vt:i4>5</vt:i4>
      </vt:variant>
      <vt:variant>
        <vt:lpwstr>https://home.treasury.gov/system/files/261/GE Captial Global Holdings%2C LLC %28Recission%29.pdf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2023-05-17T20:47:00Z</dcterms:created>
  <dcterms:modified xsi:type="dcterms:W3CDTF">2023-05-17T20:47:00Z</dcterms:modified>
</cp:coreProperties>
</file>